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8B48F"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1C43A4E6"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smallCaps/>
          <w:color w:val="000000"/>
          <w:sz w:val="22"/>
          <w:szCs w:val="22"/>
        </w:rPr>
      </w:pPr>
      <w:r>
        <w:rPr>
          <w:rFonts w:ascii="Times New Roman" w:eastAsia="Times New Roman" w:hAnsi="Times New Roman" w:cs="Times New Roman"/>
          <w:smallCaps/>
          <w:color w:val="000000"/>
          <w:sz w:val="22"/>
          <w:szCs w:val="22"/>
        </w:rPr>
        <w:t>Values and Virtues</w:t>
      </w:r>
    </w:p>
    <w:p w14:paraId="6A19C1F3"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79328288"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21C693E5"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John J.  Drummond</w:t>
      </w:r>
    </w:p>
    <w:p w14:paraId="5A246EAA"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i/>
          <w:iCs/>
          <w:color w:val="000000"/>
          <w:sz w:val="22"/>
          <w:szCs w:val="22"/>
        </w:rPr>
      </w:pPr>
      <w:r>
        <w:rPr>
          <w:rFonts w:ascii="Times New Roman" w:eastAsia="Times New Roman" w:hAnsi="Times New Roman" w:cs="Times New Roman"/>
          <w:i/>
          <w:iCs/>
          <w:color w:val="000000"/>
          <w:sz w:val="22"/>
          <w:szCs w:val="22"/>
        </w:rPr>
        <w:t>Fordham University</w:t>
      </w:r>
    </w:p>
    <w:p w14:paraId="42B64B9F"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667FE0C3"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52DE760D"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3B63A910"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My title is something of a misnomer.  It concedes the notion ‘value’ to a position I think mistaken and a problem that arises therefrom.  That position is what we might call “value realism” and it is characteristic of one important strand of phenomenological axiology.  In this talk I consider the relation between phenomenological axiology and virtue ethics, and in this context, we should recall that decades before the resurgence of interest in virtue ethics, phenomenological thinkers developed axiological approaches that criticized modern </w:t>
      </w:r>
      <w:proofErr w:type="spellStart"/>
      <w:r>
        <w:rPr>
          <w:rFonts w:ascii="Times New Roman" w:eastAsia="Times New Roman" w:hAnsi="Times New Roman" w:cs="Times New Roman"/>
          <w:color w:val="000000"/>
          <w:sz w:val="22"/>
          <w:szCs w:val="22"/>
        </w:rPr>
        <w:t>deontologism</w:t>
      </w:r>
      <w:proofErr w:type="spellEnd"/>
      <w:r>
        <w:rPr>
          <w:rFonts w:ascii="Times New Roman" w:eastAsia="Times New Roman" w:hAnsi="Times New Roman" w:cs="Times New Roman"/>
          <w:color w:val="000000"/>
          <w:sz w:val="22"/>
          <w:szCs w:val="22"/>
        </w:rPr>
        <w:t xml:space="preserve"> on both meta-ethical and normative grounds.  They rejected what they took to be the empty formalism of Kantian </w:t>
      </w:r>
      <w:proofErr w:type="spellStart"/>
      <w:r>
        <w:rPr>
          <w:rFonts w:ascii="Times New Roman" w:eastAsia="Times New Roman" w:hAnsi="Times New Roman" w:cs="Times New Roman"/>
          <w:color w:val="000000"/>
          <w:sz w:val="22"/>
          <w:szCs w:val="22"/>
        </w:rPr>
        <w:t>deontologism</w:t>
      </w:r>
      <w:proofErr w:type="spellEnd"/>
      <w:r>
        <w:rPr>
          <w:rFonts w:ascii="Times New Roman" w:eastAsia="Times New Roman" w:hAnsi="Times New Roman" w:cs="Times New Roman"/>
          <w:color w:val="000000"/>
          <w:sz w:val="22"/>
          <w:szCs w:val="22"/>
        </w:rPr>
        <w:t xml:space="preserve">, offering an axiological viewpoint wherein the realization of “material values” took the place of conformity with the form of a rational law in motivating and evaluating moral action.  </w:t>
      </w:r>
    </w:p>
    <w:p w14:paraId="7959AA91"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There was, however, broad disagreement within the tradition about the nature of value.  On the one hand, we find that some phenomenologists, e.g., Brentano (1889), Husserl (1988, 2004), </w:t>
      </w:r>
      <w:proofErr w:type="spellStart"/>
      <w:r>
        <w:rPr>
          <w:rFonts w:ascii="Times New Roman" w:eastAsia="Times New Roman" w:hAnsi="Times New Roman" w:cs="Times New Roman"/>
          <w:color w:val="000000"/>
          <w:sz w:val="22"/>
          <w:szCs w:val="22"/>
        </w:rPr>
        <w:t>Reinach</w:t>
      </w:r>
      <w:proofErr w:type="spellEnd"/>
      <w:r>
        <w:rPr>
          <w:rFonts w:ascii="Times New Roman" w:eastAsia="Times New Roman" w:hAnsi="Times New Roman" w:cs="Times New Roman"/>
          <w:color w:val="000000"/>
          <w:sz w:val="22"/>
          <w:szCs w:val="22"/>
        </w:rPr>
        <w:t xml:space="preserve"> (1913), Scheler ([1913/16] 1954; 1973), von Hildebrand (1916), and Hartmann (1926), argue for “value realism,” although Husserl’s case, as we shall see, is a bit more complicated.  On the other hand, some phenomenologists, e.g., Sartre (1943) and Merleau-Ponty (1945), are more “anti-realistic,” believing that values are created in the exercise of freedom.  </w:t>
      </w:r>
    </w:p>
    <w:p w14:paraId="7FF1821F"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It is a near commonplace among the phenomenologists espousing “value realism” that values are disclosed by feelings but exist independently of those feelings, at least in the sense that a thing’s being valuable is not reducible to its being felt valuable.  Rather, the valuable is that toward which the valuing feeling is correct or appropriate.  On this Brentano, Husserl, </w:t>
      </w:r>
      <w:proofErr w:type="spellStart"/>
      <w:r>
        <w:rPr>
          <w:rFonts w:ascii="Times New Roman" w:eastAsia="Times New Roman" w:hAnsi="Times New Roman" w:cs="Times New Roman"/>
          <w:color w:val="000000"/>
          <w:sz w:val="22"/>
          <w:szCs w:val="22"/>
        </w:rPr>
        <w:t>Reinach</w:t>
      </w:r>
      <w:proofErr w:type="spellEnd"/>
      <w:r>
        <w:rPr>
          <w:rFonts w:ascii="Times New Roman" w:eastAsia="Times New Roman" w:hAnsi="Times New Roman" w:cs="Times New Roman"/>
          <w:color w:val="000000"/>
          <w:sz w:val="22"/>
          <w:szCs w:val="22"/>
        </w:rPr>
        <w:t xml:space="preserve">, Scheler, von Hildebrand, and Hartmann are in accord.  Nevertheless, there are important differences of detail among these thinkers, most importantly concerning the relation of the feeling to the cognitive content of the experience of value.  </w:t>
      </w:r>
      <w:r>
        <w:rPr>
          <w:rFonts w:ascii="Times New Roman" w:eastAsia="Times New Roman" w:hAnsi="Times New Roman" w:cs="Times New Roman"/>
          <w:color w:val="000000"/>
          <w:sz w:val="22"/>
          <w:szCs w:val="22"/>
        </w:rPr>
        <w:lastRenderedPageBreak/>
        <w:t xml:space="preserve">Scheler ([1913/16] 1954, 88-89; 1973, 68), for example, speaks of an order of emotional intentionality through which values are directly apprehended a priori.  For Scheler, values rather than objects are the primordial phenomenon; values precede their bearers, and our apprehension of the object as valuable depends upon a prior apprehension of the value, an apprehension that in no way depends upon any inductive or causal inferences from sensory experience.  Values are pure eidetic qualities ontologically distinct from, ontologically prior to, and experienced independently of the objects of feeling and desire, i.e., of the goods that serve as the bearers of value, and of any willing or positing activity of the subject (Scheler [1913/16] 1954, 40; 1973, 18).  </w:t>
      </w:r>
    </w:p>
    <w:p w14:paraId="6F19CC6E"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early Sartre, on the other hand, adopts a subjectivist view of values.  He takes the position that values are created in the exercise of freedom.  Autonomy, in other words, is the source of value.  The reality of values is attributable only to the fact that human beings are able consciously and freely to go beyond what is, to grasp what is not as the object of their desires and choices, and to act </w:t>
      </w:r>
      <w:proofErr w:type="gramStart"/>
      <w:r>
        <w:rPr>
          <w:rFonts w:ascii="Times New Roman" w:eastAsia="Times New Roman" w:hAnsi="Times New Roman" w:cs="Times New Roman"/>
          <w:color w:val="000000"/>
          <w:sz w:val="22"/>
          <w:szCs w:val="22"/>
        </w:rPr>
        <w:t>so as to</w:t>
      </w:r>
      <w:proofErr w:type="gramEnd"/>
      <w:r>
        <w:rPr>
          <w:rFonts w:ascii="Times New Roman" w:eastAsia="Times New Roman" w:hAnsi="Times New Roman" w:cs="Times New Roman"/>
          <w:color w:val="000000"/>
          <w:sz w:val="22"/>
          <w:szCs w:val="22"/>
        </w:rPr>
        <w:t xml:space="preserve"> realize those states of affairs.  Human freedom, then, is the sole source of all the value and meaning possessed by anything in the universe, including that possessed by human existence itself.  For Sartre, one recognizes and values his or her existence as it is: free, gratuitous, and lacking transcendent values to justify it.</w:t>
      </w:r>
    </w:p>
    <w:p w14:paraId="4BC48AD3"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For reasons that I hope become clear over the course of the paper, I shall concentrate on the “realistic” strain in phenomenological axiology.  But if “value realism” names the Schelerian position, I shall argue for something more like “value objectivism,” a position that denies the existence of values ontologically prior to and independent of their bearers but affirms the possibility of axiological knowledge.  Value realists are invariably value objectivists, and value objectivist need not be a value realist in the Platonic, Schelerian sense.  In the paper, therefore, I hope to sketch how this value objectivism can ground a </w:t>
      </w:r>
      <w:proofErr w:type="spellStart"/>
      <w:r>
        <w:rPr>
          <w:rFonts w:ascii="Times New Roman" w:eastAsia="Times New Roman" w:hAnsi="Times New Roman" w:cs="Times New Roman"/>
          <w:color w:val="000000"/>
          <w:sz w:val="22"/>
          <w:szCs w:val="22"/>
        </w:rPr>
        <w:t>eudaimonistic</w:t>
      </w:r>
      <w:proofErr w:type="spellEnd"/>
      <w:r>
        <w:rPr>
          <w:rFonts w:ascii="Times New Roman" w:eastAsia="Times New Roman" w:hAnsi="Times New Roman" w:cs="Times New Roman"/>
          <w:color w:val="000000"/>
          <w:sz w:val="22"/>
          <w:szCs w:val="22"/>
        </w:rPr>
        <w:t xml:space="preserve"> approach to ethics.  I shall base my discussion on Husserl, since I believe his axiological views are the most promising—and the most Aristotelian—although I cannot argue that view here.</w:t>
      </w:r>
      <w:r>
        <w:rPr>
          <w:rStyle w:val="Endnoteanchor"/>
        </w:rPr>
        <w:endnoteReference w:id="1"/>
      </w:r>
      <w:r>
        <w:rPr>
          <w:rFonts w:ascii="Times New Roman" w:eastAsia="Times New Roman" w:hAnsi="Times New Roman" w:cs="Times New Roman"/>
          <w:color w:val="000000"/>
          <w:sz w:val="22"/>
          <w:szCs w:val="22"/>
        </w:rPr>
        <w:t xml:space="preserve">  My purpose, however, is not to provide an exegesis of Husserl’s texts but to borrow and build upon some </w:t>
      </w:r>
      <w:proofErr w:type="spellStart"/>
      <w:r>
        <w:rPr>
          <w:rFonts w:ascii="Times New Roman" w:eastAsia="Times New Roman" w:hAnsi="Times New Roman" w:cs="Times New Roman"/>
          <w:color w:val="000000"/>
          <w:sz w:val="22"/>
          <w:szCs w:val="22"/>
        </w:rPr>
        <w:t>Husserlian</w:t>
      </w:r>
      <w:proofErr w:type="spellEnd"/>
      <w:r>
        <w:rPr>
          <w:rFonts w:ascii="Times New Roman" w:eastAsia="Times New Roman" w:hAnsi="Times New Roman" w:cs="Times New Roman"/>
          <w:color w:val="000000"/>
          <w:sz w:val="22"/>
          <w:szCs w:val="22"/>
        </w:rPr>
        <w:t xml:space="preserve"> themes in order to reveal how his account of the intentional structure of acts of valuation and volition addresses both the meta-ethical and normative debates involved in the resurgence of virtue ethics </w:t>
      </w:r>
      <w:r>
        <w:rPr>
          <w:rFonts w:ascii="Times New Roman" w:eastAsia="Times New Roman" w:hAnsi="Times New Roman" w:cs="Times New Roman"/>
          <w:color w:val="000000"/>
          <w:sz w:val="22"/>
          <w:szCs w:val="22"/>
        </w:rPr>
        <w:lastRenderedPageBreak/>
        <w:t>and to consider the ways in which and the extent to which phenomenology might provide a basis for a contemporary, neo-Aristotelian virtue ethics.</w:t>
      </w:r>
    </w:p>
    <w:p w14:paraId="4E0EAC06"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This plan is complicated by the presence of an argument that one cannot generate the kind of </w:t>
      </w:r>
      <w:proofErr w:type="spellStart"/>
      <w:r>
        <w:rPr>
          <w:rFonts w:ascii="Times New Roman" w:eastAsia="Times New Roman" w:hAnsi="Times New Roman" w:cs="Times New Roman"/>
          <w:color w:val="000000"/>
          <w:sz w:val="22"/>
          <w:szCs w:val="22"/>
        </w:rPr>
        <w:t>eudaimonistic</w:t>
      </w:r>
      <w:proofErr w:type="spellEnd"/>
      <w:r>
        <w:rPr>
          <w:rFonts w:ascii="Times New Roman" w:eastAsia="Times New Roman" w:hAnsi="Times New Roman" w:cs="Times New Roman"/>
          <w:color w:val="000000"/>
          <w:sz w:val="22"/>
          <w:szCs w:val="22"/>
        </w:rPr>
        <w:t xml:space="preserve"> standpoint characteristic of a virtue ethics from within phenomenological axiology.  On the one hand, the arguments rests on the claim that for axiological realism what is good for a human and what is right to do are always understood in relation to </w:t>
      </w:r>
      <w:r>
        <w:rPr>
          <w:rFonts w:ascii="Times New Roman" w:eastAsia="Times New Roman" w:hAnsi="Times New Roman" w:cs="Times New Roman"/>
          <w:i/>
          <w:iCs/>
          <w:color w:val="000000"/>
          <w:sz w:val="22"/>
          <w:szCs w:val="22"/>
        </w:rPr>
        <w:t xml:space="preserve">a priori </w:t>
      </w:r>
      <w:r>
        <w:rPr>
          <w:rFonts w:ascii="Times New Roman" w:eastAsia="Times New Roman" w:hAnsi="Times New Roman" w:cs="Times New Roman"/>
          <w:color w:val="000000"/>
          <w:sz w:val="22"/>
          <w:szCs w:val="22"/>
        </w:rPr>
        <w:t>values.  These values, it is said, rather than any relation to human desire or human flourishing, determine the value of things and of states of affairs as well as the rightness of actions undertaken in the pursuit of realizing values.  On the other hand, the argument claims that while axiological anti-realism underwrites a notion of authenticity, authenticity and virtue are distinct notions—a claim with which I agree.  My plan is further complicated by the argument that axiological positions connecting value to feelings cannot explain the fact, emphasized, for example, by Sartre, that values are experienced by us as prescriptions, as norms or imperatives, as obligations.  It is, in other words, difficult to understand in what sense the values we encounter as the objects of our feelings, emotions, interests, and desires, can be thought to provide action-guiding directives or to impose obligations.</w:t>
      </w:r>
    </w:p>
    <w:p w14:paraId="23EA472F"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 shall argue, to the contrary, that there is a version of phenomenological axiology that permits an </w:t>
      </w:r>
      <w:proofErr w:type="spellStart"/>
      <w:r>
        <w:rPr>
          <w:rFonts w:ascii="Times New Roman" w:eastAsia="Times New Roman" w:hAnsi="Times New Roman" w:cs="Times New Roman"/>
          <w:color w:val="000000"/>
          <w:sz w:val="22"/>
          <w:szCs w:val="22"/>
        </w:rPr>
        <w:t>eudaimonistic</w:t>
      </w:r>
      <w:proofErr w:type="spellEnd"/>
      <w:r>
        <w:rPr>
          <w:rFonts w:ascii="Times New Roman" w:eastAsia="Times New Roman" w:hAnsi="Times New Roman" w:cs="Times New Roman"/>
          <w:color w:val="000000"/>
          <w:sz w:val="22"/>
          <w:szCs w:val="22"/>
        </w:rPr>
        <w:t xml:space="preserve"> conception of the good for rational agents and that can underwrite a </w:t>
      </w:r>
      <w:proofErr w:type="spellStart"/>
      <w:r>
        <w:rPr>
          <w:rFonts w:ascii="Times New Roman" w:eastAsia="Times New Roman" w:hAnsi="Times New Roman" w:cs="Times New Roman"/>
          <w:color w:val="000000"/>
          <w:sz w:val="22"/>
          <w:szCs w:val="22"/>
        </w:rPr>
        <w:t>eudaimonistic</w:t>
      </w:r>
      <w:proofErr w:type="spellEnd"/>
      <w:r>
        <w:rPr>
          <w:rFonts w:ascii="Times New Roman" w:eastAsia="Times New Roman" w:hAnsi="Times New Roman" w:cs="Times New Roman"/>
          <w:color w:val="000000"/>
          <w:sz w:val="22"/>
          <w:szCs w:val="22"/>
        </w:rPr>
        <w:t xml:space="preserve"> ethical theory, a notion of the virtues, and a sense of obligation, although one in which the right nevertheless remains subordinate to and understood in terms of the good.  I begin, however, by outlining my understanding of the resurgence of virtue ethics </w:t>
      </w:r>
      <w:proofErr w:type="gramStart"/>
      <w:r>
        <w:rPr>
          <w:rFonts w:ascii="Times New Roman" w:eastAsia="Times New Roman" w:hAnsi="Times New Roman" w:cs="Times New Roman"/>
          <w:color w:val="000000"/>
          <w:sz w:val="22"/>
          <w:szCs w:val="22"/>
        </w:rPr>
        <w:t>in order to</w:t>
      </w:r>
      <w:proofErr w:type="gramEnd"/>
      <w:r>
        <w:rPr>
          <w:rFonts w:ascii="Times New Roman" w:eastAsia="Times New Roman" w:hAnsi="Times New Roman" w:cs="Times New Roman"/>
          <w:color w:val="000000"/>
          <w:sz w:val="22"/>
          <w:szCs w:val="22"/>
        </w:rPr>
        <w:t xml:space="preserve"> situate the kind of phenomenological axiology I wish to develop in relation to it.</w:t>
      </w:r>
    </w:p>
    <w:p w14:paraId="6DB9AA37" w14:textId="77777777" w:rsidR="00010990" w:rsidRDefault="00000000">
      <w:pPr>
        <w:numPr>
          <w:ilvl w:val="0"/>
          <w:numId w:val="1"/>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sz w:val="22"/>
          <w:szCs w:val="22"/>
        </w:rPr>
        <w:t>Virtue ethics</w:t>
      </w:r>
      <w:r>
        <w:rPr>
          <w:rFonts w:ascii="Times New Roman" w:eastAsia="Times New Roman" w:hAnsi="Times New Roman" w:cs="Times New Roman"/>
          <w:color w:val="000000"/>
          <w:sz w:val="22"/>
          <w:szCs w:val="22"/>
        </w:rPr>
        <w:t>.</w:t>
      </w:r>
    </w:p>
    <w:p w14:paraId="06C3FF83"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The resurgence of interest in virtue ethics is often traced to the late 1950s and the work of Elizabeth Anscombe ([1958] 1997) and Philippa Foot (1958, 1958–59, 1961).  On Anscombe’s view, both </w:t>
      </w:r>
      <w:proofErr w:type="spellStart"/>
      <w:r>
        <w:rPr>
          <w:rFonts w:ascii="Times New Roman" w:eastAsia="Times New Roman" w:hAnsi="Times New Roman" w:cs="Times New Roman"/>
          <w:color w:val="000000"/>
          <w:sz w:val="22"/>
          <w:szCs w:val="22"/>
        </w:rPr>
        <w:t>deontologism</w:t>
      </w:r>
      <w:proofErr w:type="spellEnd"/>
      <w:r>
        <w:rPr>
          <w:rFonts w:ascii="Times New Roman" w:eastAsia="Times New Roman" w:hAnsi="Times New Roman" w:cs="Times New Roman"/>
          <w:color w:val="000000"/>
          <w:sz w:val="22"/>
          <w:szCs w:val="22"/>
        </w:rPr>
        <w:t xml:space="preserve"> and consequentialism are guilty of judging the “rightness” or “wrongness” of actions on the model of rendering a verdict based on one’s understanding of the law and of an agent’s obligations under </w:t>
      </w:r>
      <w:r>
        <w:rPr>
          <w:rFonts w:ascii="Times New Roman" w:eastAsia="Times New Roman" w:hAnsi="Times New Roman" w:cs="Times New Roman"/>
          <w:color w:val="000000"/>
          <w:sz w:val="22"/>
          <w:szCs w:val="22"/>
        </w:rPr>
        <w:lastRenderedPageBreak/>
        <w:t xml:space="preserve">the law.  The fundamental problem for this view is that it is an inheritance of the legalistic claim that the rightness or wrongness of actions is judged by whether those actions conform to law.  This claim, </w:t>
      </w:r>
      <w:proofErr w:type="gramStart"/>
      <w:r>
        <w:rPr>
          <w:rFonts w:ascii="Times New Roman" w:eastAsia="Times New Roman" w:hAnsi="Times New Roman" w:cs="Times New Roman"/>
          <w:color w:val="000000"/>
          <w:sz w:val="22"/>
          <w:szCs w:val="22"/>
        </w:rPr>
        <w:t>in order to</w:t>
      </w:r>
      <w:proofErr w:type="gramEnd"/>
      <w:r>
        <w:rPr>
          <w:rFonts w:ascii="Times New Roman" w:eastAsia="Times New Roman" w:hAnsi="Times New Roman" w:cs="Times New Roman"/>
          <w:color w:val="000000"/>
          <w:sz w:val="22"/>
          <w:szCs w:val="22"/>
        </w:rPr>
        <w:t xml:space="preserve"> preserve the distinction between </w:t>
      </w:r>
      <w:r>
        <w:rPr>
          <w:rFonts w:ascii="Times New Roman" w:eastAsia="Times New Roman" w:hAnsi="Times New Roman" w:cs="Times New Roman"/>
          <w:i/>
          <w:iCs/>
          <w:color w:val="000000"/>
          <w:sz w:val="22"/>
          <w:szCs w:val="22"/>
        </w:rPr>
        <w:t xml:space="preserve">moral </w:t>
      </w:r>
      <w:r>
        <w:rPr>
          <w:rFonts w:ascii="Times New Roman" w:eastAsia="Times New Roman" w:hAnsi="Times New Roman" w:cs="Times New Roman"/>
          <w:color w:val="000000"/>
          <w:sz w:val="22"/>
          <w:szCs w:val="22"/>
        </w:rPr>
        <w:t xml:space="preserve">obligation and </w:t>
      </w:r>
      <w:r>
        <w:rPr>
          <w:rFonts w:ascii="Times New Roman" w:eastAsia="Times New Roman" w:hAnsi="Times New Roman" w:cs="Times New Roman"/>
          <w:i/>
          <w:iCs/>
          <w:color w:val="000000"/>
          <w:sz w:val="22"/>
          <w:szCs w:val="22"/>
        </w:rPr>
        <w:t xml:space="preserve">legal </w:t>
      </w:r>
      <w:r>
        <w:rPr>
          <w:rFonts w:ascii="Times New Roman" w:eastAsia="Times New Roman" w:hAnsi="Times New Roman" w:cs="Times New Roman"/>
          <w:color w:val="000000"/>
          <w:sz w:val="22"/>
          <w:szCs w:val="22"/>
        </w:rPr>
        <w:t xml:space="preserve">or </w:t>
      </w:r>
      <w:r>
        <w:rPr>
          <w:rFonts w:ascii="Times New Roman" w:eastAsia="Times New Roman" w:hAnsi="Times New Roman" w:cs="Times New Roman"/>
          <w:i/>
          <w:iCs/>
          <w:color w:val="000000"/>
          <w:sz w:val="22"/>
          <w:szCs w:val="22"/>
        </w:rPr>
        <w:t xml:space="preserve">political </w:t>
      </w:r>
      <w:r>
        <w:rPr>
          <w:rFonts w:ascii="Times New Roman" w:eastAsia="Times New Roman" w:hAnsi="Times New Roman" w:cs="Times New Roman"/>
          <w:color w:val="000000"/>
          <w:sz w:val="22"/>
          <w:szCs w:val="22"/>
        </w:rPr>
        <w:t xml:space="preserve">obligation, presupposes a non-political lawgiver, i.e., a divine legislator, whose promulgations demand obedience.  However, since modern moral philosophy rejects both divine command theories and religiously grounded natural law theories, the notion of universal, moral laws obligating us has, according to Anscombe, lost the only context that could make it intelligible (Anscombe [1958] 1997, 30–31).  Moreover, it is incoherent, on Anscombe’s view, to say that an agent can be self-legislating.  An agent cannot legislate for herself in a manner that </w:t>
      </w:r>
      <w:r>
        <w:rPr>
          <w:rFonts w:ascii="Times New Roman" w:eastAsia="Times New Roman" w:hAnsi="Times New Roman" w:cs="Times New Roman"/>
          <w:i/>
          <w:iCs/>
          <w:color w:val="000000"/>
          <w:sz w:val="22"/>
          <w:szCs w:val="22"/>
        </w:rPr>
        <w:t xml:space="preserve">commands </w:t>
      </w:r>
      <w:r>
        <w:rPr>
          <w:rFonts w:ascii="Times New Roman" w:eastAsia="Times New Roman" w:hAnsi="Times New Roman" w:cs="Times New Roman"/>
          <w:color w:val="000000"/>
          <w:sz w:val="22"/>
          <w:szCs w:val="22"/>
        </w:rPr>
        <w:t>the agent (Anscombe [1958] 1997, 39).</w:t>
      </w:r>
    </w:p>
    <w:p w14:paraId="282DFDE9"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appeal to such legalistic forms of reasoning is the symptom, for Anscombe, of the lack of an adequate moral psychology and an adequate account of practical reason.  Her concern in this critique, in other words, is primarily meta-ethical.  She rejects the accounts of practical reasoning associated with the two major normative positions of the day.  What is interesting to note, therefore, is that she does not conclude to the truth of the major alternative then available to these accounts of reasoning.  She does not, that </w:t>
      </w:r>
      <w:proofErr w:type="gramStart"/>
      <w:r>
        <w:rPr>
          <w:rFonts w:ascii="Times New Roman" w:eastAsia="Times New Roman" w:hAnsi="Times New Roman" w:cs="Times New Roman"/>
          <w:color w:val="000000"/>
          <w:sz w:val="22"/>
          <w:szCs w:val="22"/>
        </w:rPr>
        <w:t>is,  accept</w:t>
      </w:r>
      <w:proofErr w:type="gramEnd"/>
      <w:r>
        <w:rPr>
          <w:rFonts w:ascii="Times New Roman" w:eastAsia="Times New Roman" w:hAnsi="Times New Roman" w:cs="Times New Roman"/>
          <w:color w:val="000000"/>
          <w:sz w:val="22"/>
          <w:szCs w:val="22"/>
        </w:rPr>
        <w:t xml:space="preserve"> the non-cognitivist claims of emotivism or prescriptivism as an adequate meta-ethics.  Instead, she claims, we must work on articulating an improved moral psychology.</w:t>
      </w:r>
    </w:p>
    <w:p w14:paraId="0772ABC4"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We find a similar meta-ethical concern in Philippa Foot’s critiques of non-cognitivism in a series of articles from the late 1950s and early 1960s ([1958], [1958–59], [1961]).  Foot argues against various non-cognitivist positions, for example and especially, those of Stevenson (1944) and Hare (1952), and against the so-called fact-value distinction in which these positions are rooted.  In so doing, she suggests an alternative moral psychology of the kind Anscombe recommends, a psychology in which reason and feeling penetrate one another </w:t>
      </w:r>
      <w:proofErr w:type="gramStart"/>
      <w:r>
        <w:rPr>
          <w:rFonts w:ascii="Times New Roman" w:eastAsia="Times New Roman" w:hAnsi="Times New Roman" w:cs="Times New Roman"/>
          <w:color w:val="000000"/>
          <w:sz w:val="22"/>
          <w:szCs w:val="22"/>
        </w:rPr>
        <w:t>so as to</w:t>
      </w:r>
      <w:proofErr w:type="gramEnd"/>
      <w:r>
        <w:rPr>
          <w:rFonts w:ascii="Times New Roman" w:eastAsia="Times New Roman" w:hAnsi="Times New Roman" w:cs="Times New Roman"/>
          <w:color w:val="000000"/>
          <w:sz w:val="22"/>
          <w:szCs w:val="22"/>
        </w:rPr>
        <w:t xml:space="preserve"> produce “factual” evaluations that command assent precisely to the extent that reasons can be given for them.  These reasons appeal both to features of the situation, action, or agent evaluated and to the shared understandings of evaluative terms.  </w:t>
      </w:r>
    </w:p>
    <w:p w14:paraId="553422B1"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The revival of a virtue approach to ethics, in other words, first appears on the scene as an intervention in a meta-ethical debate.  Indeed, textbooks of the time, even Foot’s own </w:t>
      </w:r>
      <w:r>
        <w:rPr>
          <w:rFonts w:ascii="Times New Roman" w:eastAsia="Times New Roman" w:hAnsi="Times New Roman" w:cs="Times New Roman"/>
          <w:i/>
          <w:iCs/>
          <w:color w:val="000000"/>
          <w:sz w:val="22"/>
          <w:szCs w:val="22"/>
        </w:rPr>
        <w:t>Theories of Ethics</w:t>
      </w:r>
      <w:r>
        <w:rPr>
          <w:rFonts w:ascii="Times New Roman" w:eastAsia="Times New Roman" w:hAnsi="Times New Roman" w:cs="Times New Roman"/>
          <w:color w:val="000000"/>
          <w:sz w:val="22"/>
          <w:szCs w:val="22"/>
        </w:rPr>
        <w:t xml:space="preserve"> (1967), </w:t>
      </w:r>
      <w:r>
        <w:rPr>
          <w:rFonts w:ascii="Times New Roman" w:eastAsia="Times New Roman" w:hAnsi="Times New Roman" w:cs="Times New Roman"/>
          <w:color w:val="000000"/>
          <w:sz w:val="22"/>
          <w:szCs w:val="22"/>
        </w:rPr>
        <w:lastRenderedPageBreak/>
        <w:t xml:space="preserve">standardly provide accounts of only two normative perspectives, namely, </w:t>
      </w:r>
      <w:proofErr w:type="spellStart"/>
      <w:r>
        <w:rPr>
          <w:rFonts w:ascii="Times New Roman" w:eastAsia="Times New Roman" w:hAnsi="Times New Roman" w:cs="Times New Roman"/>
          <w:color w:val="000000"/>
          <w:sz w:val="22"/>
          <w:szCs w:val="22"/>
        </w:rPr>
        <w:t>deontologism</w:t>
      </w:r>
      <w:proofErr w:type="spellEnd"/>
      <w:r>
        <w:rPr>
          <w:rFonts w:ascii="Times New Roman" w:eastAsia="Times New Roman" w:hAnsi="Times New Roman" w:cs="Times New Roman"/>
          <w:color w:val="000000"/>
          <w:sz w:val="22"/>
          <w:szCs w:val="22"/>
        </w:rPr>
        <w:t xml:space="preserve"> and utilitarianism.  It was not until works such as Peter </w:t>
      </w:r>
      <w:proofErr w:type="spellStart"/>
      <w:r>
        <w:rPr>
          <w:rFonts w:ascii="Times New Roman" w:eastAsia="Times New Roman" w:hAnsi="Times New Roman" w:cs="Times New Roman"/>
          <w:color w:val="000000"/>
          <w:sz w:val="22"/>
          <w:szCs w:val="22"/>
        </w:rPr>
        <w:t>Geach’s</w:t>
      </w:r>
      <w:proofErr w:type="spellEnd"/>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The Virtues</w:t>
      </w:r>
      <w:r>
        <w:rPr>
          <w:rFonts w:ascii="Times New Roman" w:eastAsia="Times New Roman" w:hAnsi="Times New Roman" w:cs="Times New Roman"/>
          <w:color w:val="000000"/>
          <w:sz w:val="22"/>
          <w:szCs w:val="22"/>
        </w:rPr>
        <w:t xml:space="preserve"> (1977), Foot’s article “Virtues and Vices” ([1978a] 2002), and, most decisively, Alasdair </w:t>
      </w:r>
      <w:proofErr w:type="spellStart"/>
      <w:r>
        <w:rPr>
          <w:rFonts w:ascii="Times New Roman" w:eastAsia="Times New Roman" w:hAnsi="Times New Roman" w:cs="Times New Roman"/>
          <w:color w:val="000000"/>
          <w:sz w:val="22"/>
          <w:szCs w:val="22"/>
        </w:rPr>
        <w:t>MacIntyre’s</w:t>
      </w:r>
      <w:proofErr w:type="spellEnd"/>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After Virtue</w:t>
      </w:r>
      <w:r>
        <w:rPr>
          <w:rFonts w:ascii="Times New Roman" w:eastAsia="Times New Roman" w:hAnsi="Times New Roman" w:cs="Times New Roman"/>
          <w:color w:val="000000"/>
          <w:sz w:val="22"/>
          <w:szCs w:val="22"/>
        </w:rPr>
        <w:t xml:space="preserve"> (1981) that virtue ethics identified itself as a third alternative in the debate in normative ethics between deontological theories and utilitarian or consequentialist theories.</w:t>
      </w:r>
      <w:r>
        <w:rPr>
          <w:rStyle w:val="Endnoteanchor"/>
        </w:rPr>
        <w:endnoteReference w:id="2"/>
      </w:r>
      <w:r>
        <w:rPr>
          <w:rFonts w:ascii="Times New Roman" w:eastAsia="Times New Roman" w:hAnsi="Times New Roman" w:cs="Times New Roman"/>
          <w:color w:val="000000"/>
          <w:sz w:val="22"/>
          <w:szCs w:val="22"/>
        </w:rPr>
        <w:t xml:space="preserve">  This third alternative claims that our fundamental moral judgments are judgments about the moral character of agents rather than the rightness or wrongness of actions.  </w:t>
      </w:r>
    </w:p>
    <w:p w14:paraId="4C23CBBF"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Both deontological and consequentialist thinkers can provide theories about the virtues and their place in the life </w:t>
      </w:r>
      <w:proofErr w:type="gramStart"/>
      <w:r>
        <w:rPr>
          <w:rFonts w:ascii="Times New Roman" w:eastAsia="Times New Roman" w:hAnsi="Times New Roman" w:cs="Times New Roman"/>
          <w:color w:val="000000"/>
          <w:sz w:val="22"/>
          <w:szCs w:val="22"/>
        </w:rPr>
        <w:t>of  a</w:t>
      </w:r>
      <w:proofErr w:type="gramEnd"/>
      <w:r>
        <w:rPr>
          <w:rFonts w:ascii="Times New Roman" w:eastAsia="Times New Roman" w:hAnsi="Times New Roman" w:cs="Times New Roman"/>
          <w:color w:val="000000"/>
          <w:sz w:val="22"/>
          <w:szCs w:val="22"/>
        </w:rPr>
        <w:t xml:space="preserve"> morally praiseworthy agent, as Kant, for example, did at some length.  By way of contemporary example, one might consider Christine </w:t>
      </w:r>
      <w:proofErr w:type="spellStart"/>
      <w:r>
        <w:rPr>
          <w:rFonts w:ascii="Times New Roman" w:eastAsia="Times New Roman" w:hAnsi="Times New Roman" w:cs="Times New Roman"/>
          <w:color w:val="000000"/>
          <w:sz w:val="22"/>
          <w:szCs w:val="22"/>
        </w:rPr>
        <w:t>Korsgaard’s</w:t>
      </w:r>
      <w:proofErr w:type="spellEnd"/>
      <w:r>
        <w:rPr>
          <w:rFonts w:ascii="Times New Roman" w:eastAsia="Times New Roman" w:hAnsi="Times New Roman" w:cs="Times New Roman"/>
          <w:color w:val="000000"/>
          <w:sz w:val="22"/>
          <w:szCs w:val="22"/>
        </w:rPr>
        <w:t xml:space="preserve"> (1996) discussion of the virtues from a Kantian perspective and Julia Driver’s (2001) virtue-consequentialism.  One can develop, in other words, a virtue-theoretical position that is not a virtue-ethical position.  It is also possible to develop a normative virtue-ethical position that is not Aristotelian, and here the work of Michael </w:t>
      </w:r>
      <w:proofErr w:type="spellStart"/>
      <w:r>
        <w:rPr>
          <w:rFonts w:ascii="Times New Roman" w:eastAsia="Times New Roman" w:hAnsi="Times New Roman" w:cs="Times New Roman"/>
          <w:color w:val="000000"/>
          <w:sz w:val="22"/>
          <w:szCs w:val="22"/>
        </w:rPr>
        <w:t>Slote</w:t>
      </w:r>
      <w:proofErr w:type="spellEnd"/>
      <w:r>
        <w:rPr>
          <w:rFonts w:ascii="Times New Roman" w:eastAsia="Times New Roman" w:hAnsi="Times New Roman" w:cs="Times New Roman"/>
          <w:color w:val="000000"/>
          <w:sz w:val="22"/>
          <w:szCs w:val="22"/>
        </w:rPr>
        <w:t xml:space="preserve"> (2001) is prominent.  In what follows, I limit my discussion to what can be broadly construed as a neo-Aristotelian approach to the meta-ethical and normative dimensions of virtue ethics, as prefigured in the work of Anscombe, Foot, </w:t>
      </w:r>
      <w:proofErr w:type="spellStart"/>
      <w:r>
        <w:rPr>
          <w:rFonts w:ascii="Times New Roman" w:eastAsia="Times New Roman" w:hAnsi="Times New Roman" w:cs="Times New Roman"/>
          <w:color w:val="000000"/>
          <w:sz w:val="22"/>
          <w:szCs w:val="22"/>
        </w:rPr>
        <w:t>Geach</w:t>
      </w:r>
      <w:proofErr w:type="spellEnd"/>
      <w:r>
        <w:rPr>
          <w:rFonts w:ascii="Times New Roman" w:eastAsia="Times New Roman" w:hAnsi="Times New Roman" w:cs="Times New Roman"/>
          <w:color w:val="000000"/>
          <w:sz w:val="22"/>
          <w:szCs w:val="22"/>
        </w:rPr>
        <w:t xml:space="preserve">, and </w:t>
      </w:r>
      <w:proofErr w:type="spellStart"/>
      <w:r>
        <w:rPr>
          <w:rFonts w:ascii="Times New Roman" w:eastAsia="Times New Roman" w:hAnsi="Times New Roman" w:cs="Times New Roman"/>
          <w:color w:val="000000"/>
          <w:sz w:val="22"/>
          <w:szCs w:val="22"/>
        </w:rPr>
        <w:t>MacIntyre</w:t>
      </w:r>
      <w:proofErr w:type="spellEnd"/>
      <w:r>
        <w:rPr>
          <w:rFonts w:ascii="Times New Roman" w:eastAsia="Times New Roman" w:hAnsi="Times New Roman" w:cs="Times New Roman"/>
          <w:color w:val="000000"/>
          <w:sz w:val="22"/>
          <w:szCs w:val="22"/>
        </w:rPr>
        <w:t xml:space="preserve">.  I take this neo-Aristotelian approach to include, first, the view that the emotions are involved in our moral appraisals and that these emotions include, but are not reducible to, cognitive content, </w:t>
      </w:r>
      <w:proofErr w:type="gramStart"/>
      <w:r>
        <w:rPr>
          <w:rFonts w:ascii="Times New Roman" w:eastAsia="Times New Roman" w:hAnsi="Times New Roman" w:cs="Times New Roman"/>
          <w:color w:val="000000"/>
          <w:sz w:val="22"/>
          <w:szCs w:val="22"/>
        </w:rPr>
        <w:t>and,</w:t>
      </w:r>
      <w:proofErr w:type="gramEnd"/>
      <w:r>
        <w:rPr>
          <w:rFonts w:ascii="Times New Roman" w:eastAsia="Times New Roman" w:hAnsi="Times New Roman" w:cs="Times New Roman"/>
          <w:color w:val="000000"/>
          <w:sz w:val="22"/>
          <w:szCs w:val="22"/>
        </w:rPr>
        <w:t xml:space="preserve"> second, the teleological view that the goods to be pursued in action are not to be defined in purely consequentialist terms.  I shall ask where, if anywhere, a phenomenological axiology rooted in Husserl can stand in relation to the development of this kind of contemporary, neo-Aristotelian virtue ethics.</w:t>
      </w:r>
    </w:p>
    <w:p w14:paraId="144C4A5D"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4DCD7B72" w14:textId="77777777" w:rsidR="00010990" w:rsidRDefault="00000000">
      <w:pPr>
        <w:numPr>
          <w:ilvl w:val="0"/>
          <w:numId w:val="2"/>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sz w:val="22"/>
          <w:szCs w:val="22"/>
        </w:rPr>
        <w:t>Husserl on the formal dimension of axiology and ethics</w:t>
      </w:r>
      <w:r>
        <w:rPr>
          <w:rFonts w:ascii="Times New Roman" w:eastAsia="Times New Roman" w:hAnsi="Times New Roman" w:cs="Times New Roman"/>
          <w:color w:val="000000"/>
          <w:sz w:val="22"/>
          <w:szCs w:val="22"/>
        </w:rPr>
        <w:t>.</w:t>
      </w:r>
    </w:p>
    <w:p w14:paraId="5F059DF4"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In certain parts of his lectures on ethics, Husserl emphasizes the purely rational part of ethics in a manner that seems to point in the direction of deontology.  He defends a view of ethics as a rational and objective discipline against what he calls “ethical empiricism,” which he understands as a form of </w:t>
      </w:r>
      <w:proofErr w:type="spellStart"/>
      <w:r>
        <w:rPr>
          <w:rFonts w:ascii="Times New Roman" w:eastAsia="Times New Roman" w:hAnsi="Times New Roman" w:cs="Times New Roman"/>
          <w:color w:val="000000"/>
          <w:sz w:val="22"/>
          <w:szCs w:val="22"/>
        </w:rPr>
        <w:t>psychologism</w:t>
      </w:r>
      <w:proofErr w:type="spellEnd"/>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lastRenderedPageBreak/>
        <w:t xml:space="preserve">that grounds ethics in the psychology of emotion (Husserl 1988, 12).  To ground ethics in psychology (or, similarly, in biology) entails, according to Husserl, that evaluative terms such as “good” and “bad” would have a merely factual validity; they would refer only to the generally </w:t>
      </w:r>
      <w:proofErr w:type="gramStart"/>
      <w:r>
        <w:rPr>
          <w:rFonts w:ascii="Times New Roman" w:eastAsia="Times New Roman" w:hAnsi="Times New Roman" w:cs="Times New Roman"/>
          <w:color w:val="000000"/>
          <w:sz w:val="22"/>
          <w:szCs w:val="22"/>
        </w:rPr>
        <w:t>true fact</w:t>
      </w:r>
      <w:proofErr w:type="gramEnd"/>
      <w:r>
        <w:rPr>
          <w:rFonts w:ascii="Times New Roman" w:eastAsia="Times New Roman" w:hAnsi="Times New Roman" w:cs="Times New Roman"/>
          <w:color w:val="000000"/>
          <w:sz w:val="22"/>
          <w:szCs w:val="22"/>
        </w:rPr>
        <w:t xml:space="preserve"> that in a certain historical culture people </w:t>
      </w:r>
      <w:r>
        <w:rPr>
          <w:rFonts w:ascii="Times New Roman" w:eastAsia="Times New Roman" w:hAnsi="Times New Roman" w:cs="Times New Roman"/>
          <w:i/>
          <w:iCs/>
          <w:color w:val="000000"/>
          <w:sz w:val="22"/>
          <w:szCs w:val="22"/>
        </w:rPr>
        <w:t xml:space="preserve">feel </w:t>
      </w:r>
      <w:r>
        <w:rPr>
          <w:rFonts w:ascii="Times New Roman" w:eastAsia="Times New Roman" w:hAnsi="Times New Roman" w:cs="Times New Roman"/>
          <w:color w:val="000000"/>
          <w:sz w:val="22"/>
          <w:szCs w:val="22"/>
        </w:rPr>
        <w:t xml:space="preserve">obligated on psychological or biological grounds to act in certain ways (Husserl 1988, 13).  </w:t>
      </w:r>
    </w:p>
    <w:p w14:paraId="758975CD"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Husserl does not thereby deny the empirical dimension of ethics.  He denies neither the role that religious and political authorities play in our moral life, nor the differences between the customs, mores, and moral institutions of different peoples and different times, nor the conditioning of our moral capacities by our psycho-physical constitution and our place within the causal nexus of the physical world.  But, for Husserl, the fact of these empirical factors in our ethical life is not sufficient to justify the claim that ethics is an empirical science, for these factors affect only how ethical principles are particularized in different circumstances and the ethical practices in which they are realized.  </w:t>
      </w:r>
    </w:p>
    <w:p w14:paraId="35792359"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On Husserl’s view, the theoretical part of ethics must be an </w:t>
      </w:r>
      <w:r>
        <w:rPr>
          <w:rFonts w:ascii="Times New Roman" w:eastAsia="Times New Roman" w:hAnsi="Times New Roman" w:cs="Times New Roman"/>
          <w:i/>
          <w:iCs/>
          <w:color w:val="000000"/>
          <w:sz w:val="22"/>
          <w:szCs w:val="22"/>
        </w:rPr>
        <w:t xml:space="preserve">a priori </w:t>
      </w:r>
      <w:r>
        <w:rPr>
          <w:rFonts w:ascii="Times New Roman" w:eastAsia="Times New Roman" w:hAnsi="Times New Roman" w:cs="Times New Roman"/>
          <w:color w:val="000000"/>
          <w:sz w:val="22"/>
          <w:szCs w:val="22"/>
        </w:rPr>
        <w:t>science if ethics is to provide principles having a genuinely normative force.  In response to questions about how rationally to shape one’s entire life as a good life and to attain happiness (</w:t>
      </w:r>
      <w:proofErr w:type="spellStart"/>
      <w:r>
        <w:rPr>
          <w:rFonts w:ascii="Times New Roman" w:eastAsia="Times New Roman" w:hAnsi="Times New Roman" w:cs="Times New Roman"/>
          <w:i/>
          <w:iCs/>
          <w:color w:val="000000"/>
          <w:sz w:val="22"/>
          <w:szCs w:val="22"/>
        </w:rPr>
        <w:t>Eudaimonie</w:t>
      </w:r>
      <w:proofErr w:type="spellEnd"/>
      <w:r>
        <w:rPr>
          <w:rFonts w:ascii="Times New Roman" w:eastAsia="Times New Roman" w:hAnsi="Times New Roman" w:cs="Times New Roman"/>
          <w:color w:val="000000"/>
          <w:sz w:val="22"/>
          <w:szCs w:val="22"/>
        </w:rPr>
        <w:t xml:space="preserve">) or blessedness </w:t>
      </w:r>
      <w:r>
        <w:rPr>
          <w:rFonts w:ascii="Times New Roman" w:eastAsia="Times New Roman" w:hAnsi="Times New Roman" w:cs="Times New Roman"/>
          <w:i/>
          <w:iCs/>
          <w:color w:val="000000"/>
          <w:sz w:val="22"/>
          <w:szCs w:val="22"/>
        </w:rPr>
        <w:t>(</w:t>
      </w:r>
      <w:proofErr w:type="spellStart"/>
      <w:r>
        <w:rPr>
          <w:rFonts w:ascii="Times New Roman" w:eastAsia="Times New Roman" w:hAnsi="Times New Roman" w:cs="Times New Roman"/>
          <w:i/>
          <w:iCs/>
          <w:color w:val="000000"/>
          <w:sz w:val="22"/>
          <w:szCs w:val="22"/>
        </w:rPr>
        <w:t>Glückseligkeit</w:t>
      </w:r>
      <w:proofErr w:type="spellEnd"/>
      <w:r>
        <w:rPr>
          <w:rFonts w:ascii="Times New Roman" w:eastAsia="Times New Roman" w:hAnsi="Times New Roman" w:cs="Times New Roman"/>
          <w:i/>
          <w:iCs/>
          <w:color w:val="000000"/>
          <w:sz w:val="22"/>
          <w:szCs w:val="22"/>
        </w:rPr>
        <w:t>)</w:t>
      </w:r>
      <w:r>
        <w:rPr>
          <w:rFonts w:ascii="Times New Roman" w:eastAsia="Times New Roman" w:hAnsi="Times New Roman" w:cs="Times New Roman"/>
          <w:color w:val="000000"/>
          <w:sz w:val="22"/>
          <w:szCs w:val="22"/>
        </w:rPr>
        <w:t xml:space="preserve">, Husserl speaks of the need “to define a system of absolute and pure principles of practical reason which, free from all reference to the empirical human and its empirical relations, ought to take over the function of providing an absolutely normative standard for all human behavior, </w:t>
      </w:r>
      <w:r>
        <w:rPr>
          <w:rFonts w:ascii="Times New Roman" w:eastAsia="Times New Roman" w:hAnsi="Times New Roman" w:cs="Times New Roman"/>
          <w:i/>
          <w:iCs/>
          <w:color w:val="000000"/>
          <w:sz w:val="22"/>
          <w:szCs w:val="22"/>
        </w:rPr>
        <w:t>whether these standards are only formal or also material</w:t>
      </w:r>
      <w:r>
        <w:rPr>
          <w:rFonts w:ascii="Times New Roman" w:eastAsia="Times New Roman" w:hAnsi="Times New Roman" w:cs="Times New Roman"/>
          <w:color w:val="000000"/>
          <w:sz w:val="22"/>
          <w:szCs w:val="22"/>
        </w:rPr>
        <w:t xml:space="preserve">” (Husserl 1988, 11, my emphasis).  </w:t>
      </w:r>
      <w:proofErr w:type="gramStart"/>
      <w:r>
        <w:rPr>
          <w:rFonts w:ascii="Times New Roman" w:eastAsia="Times New Roman" w:hAnsi="Times New Roman" w:cs="Times New Roman"/>
          <w:color w:val="000000"/>
          <w:sz w:val="22"/>
          <w:szCs w:val="22"/>
        </w:rPr>
        <w:t>On first glance, this</w:t>
      </w:r>
      <w:proofErr w:type="gramEnd"/>
      <w:r>
        <w:rPr>
          <w:rFonts w:ascii="Times New Roman" w:eastAsia="Times New Roman" w:hAnsi="Times New Roman" w:cs="Times New Roman"/>
          <w:color w:val="000000"/>
          <w:sz w:val="22"/>
          <w:szCs w:val="22"/>
        </w:rPr>
        <w:t xml:space="preserve"> hardly sounds like a critique of Kant!  But I should note immediately that this quotation is a response to a question about attaining </w:t>
      </w:r>
      <w:r>
        <w:rPr>
          <w:rFonts w:ascii="Times New Roman" w:eastAsia="Times New Roman" w:hAnsi="Times New Roman" w:cs="Times New Roman"/>
          <w:i/>
          <w:iCs/>
          <w:color w:val="000000"/>
          <w:sz w:val="22"/>
          <w:szCs w:val="22"/>
        </w:rPr>
        <w:t xml:space="preserve">happiness </w:t>
      </w:r>
      <w:r>
        <w:rPr>
          <w:rFonts w:ascii="Times New Roman" w:eastAsia="Times New Roman" w:hAnsi="Times New Roman" w:cs="Times New Roman"/>
          <w:color w:val="000000"/>
          <w:sz w:val="22"/>
          <w:szCs w:val="22"/>
        </w:rPr>
        <w:t xml:space="preserve">and it refers us to two dimensions—the material and the formal—in Husserl’s ethical views.  These two dimensions are intertwined in a way that differs strikingly from Kant.  </w:t>
      </w:r>
    </w:p>
    <w:p w14:paraId="034DDA23"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Let us focus our attention for a moment on the formal dimension.  It comprises what Husserl calls “formal axiology” and the “formal theory of practice.”  Husserl conceives of these two formal disciplines as analogous in the axiological and practical spheres to formal logic in the theoretical sphere and as comparable to formal logic in their rigor and universality.  Their function is (1) to identify the possible </w:t>
      </w:r>
      <w:r>
        <w:rPr>
          <w:rFonts w:ascii="Times New Roman" w:eastAsia="Times New Roman" w:hAnsi="Times New Roman" w:cs="Times New Roman"/>
          <w:color w:val="000000"/>
          <w:sz w:val="22"/>
          <w:szCs w:val="22"/>
        </w:rPr>
        <w:lastRenderedPageBreak/>
        <w:t xml:space="preserve">forms of simple axiological and practical judgments as well as those compound forms wherein axiological and practical judgments are brought into conjunctive, disjunctive and hypothetical relationships; and (2) to identify the laws governing consistency relationships among our axiological and practical judgments </w:t>
      </w:r>
      <w:proofErr w:type="gramStart"/>
      <w:r>
        <w:rPr>
          <w:rFonts w:ascii="Times New Roman" w:eastAsia="Times New Roman" w:hAnsi="Times New Roman" w:cs="Times New Roman"/>
          <w:color w:val="000000"/>
          <w:sz w:val="22"/>
          <w:szCs w:val="22"/>
        </w:rPr>
        <w:t>so as to</w:t>
      </w:r>
      <w:proofErr w:type="gramEnd"/>
      <w:r>
        <w:rPr>
          <w:rFonts w:ascii="Times New Roman" w:eastAsia="Times New Roman" w:hAnsi="Times New Roman" w:cs="Times New Roman"/>
          <w:color w:val="000000"/>
          <w:sz w:val="22"/>
          <w:szCs w:val="22"/>
        </w:rPr>
        <w:t xml:space="preserve"> ensure consistency in our moral beliefs and practices. The main force of these discussions of formal axiology and the formal theory of practice is not meta-ethical but normative.  When a law claims that we must do something </w:t>
      </w:r>
      <w:proofErr w:type="gramStart"/>
      <w:r>
        <w:rPr>
          <w:rFonts w:ascii="Times New Roman" w:eastAsia="Times New Roman" w:hAnsi="Times New Roman" w:cs="Times New Roman"/>
          <w:color w:val="000000"/>
          <w:sz w:val="22"/>
          <w:szCs w:val="22"/>
        </w:rPr>
        <w:t>in order to</w:t>
      </w:r>
      <w:proofErr w:type="gramEnd"/>
      <w:r>
        <w:rPr>
          <w:rFonts w:ascii="Times New Roman" w:eastAsia="Times New Roman" w:hAnsi="Times New Roman" w:cs="Times New Roman"/>
          <w:color w:val="000000"/>
          <w:sz w:val="22"/>
          <w:szCs w:val="22"/>
        </w:rPr>
        <w:t xml:space="preserve"> achieve some good, the necessity here is not logical or physical.  The law asserts that a rational person, given a desire for that </w:t>
      </w:r>
      <w:proofErr w:type="gramStart"/>
      <w:r>
        <w:rPr>
          <w:rFonts w:ascii="Times New Roman" w:eastAsia="Times New Roman" w:hAnsi="Times New Roman" w:cs="Times New Roman"/>
          <w:color w:val="000000"/>
          <w:sz w:val="22"/>
          <w:szCs w:val="22"/>
        </w:rPr>
        <w:t>particular good</w:t>
      </w:r>
      <w:proofErr w:type="gramEnd"/>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ought</w:t>
      </w:r>
      <w:r>
        <w:rPr>
          <w:rFonts w:ascii="Times New Roman" w:eastAsia="Times New Roman" w:hAnsi="Times New Roman" w:cs="Times New Roman"/>
          <w:color w:val="000000"/>
          <w:sz w:val="22"/>
          <w:szCs w:val="22"/>
        </w:rPr>
        <w:t xml:space="preserve"> to do that thing.  The law asserts that not to do that thing, given the desire for that good, would be irrational. </w:t>
      </w:r>
    </w:p>
    <w:p w14:paraId="5CB62B28"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Husserl’s formulation of the first, formal law of morality—his categorical imperative, as he calls it, whose formulation he borrows from Brentano ([1889] 1902, 12)—is “Choose the best among attainable ends.”  Husserl states this law more objectively as “The best among what is attainable in the total practical sphere is not only comparatively the best, but the sole practical good” (Husserl 1988, 221).  His concern, in other words, is, </w:t>
      </w:r>
      <w:r>
        <w:rPr>
          <w:rFonts w:ascii="Times New Roman" w:eastAsia="Times New Roman" w:hAnsi="Times New Roman" w:cs="Times New Roman"/>
          <w:i/>
          <w:iCs/>
          <w:color w:val="000000"/>
          <w:sz w:val="22"/>
          <w:szCs w:val="22"/>
        </w:rPr>
        <w:t>contra</w:t>
      </w:r>
      <w:r>
        <w:rPr>
          <w:rFonts w:ascii="Times New Roman" w:eastAsia="Times New Roman" w:hAnsi="Times New Roman" w:cs="Times New Roman"/>
          <w:color w:val="000000"/>
          <w:sz w:val="22"/>
          <w:szCs w:val="22"/>
        </w:rPr>
        <w:t xml:space="preserve"> Kant, not with the mere form of a legislating reason.  From the beginning there is a material dimension—the best attainable—proper to Husserl’s categorical imperative.  Other laws that he cites make clear that Husserl conceives the “best among what is attainable” as the maximization of the sum of goods available in a situation.  For example, in the axiological sphere, Husserl presents us with laws governing the comparison and summation of value (Husserl 1988, 90ff.; cf.  also 132).  In the practical sphere, his “law of absorption” requires that in choosing an action we order that action to the best of the goods attainable—the highest and most comprehensive good—and that the best absorbs all other goods under it (Husserl 1988, 145).  Husserl’s discussions of such laws indicate that he uses the teleological notions of ‘happiness’ and ‘blessedness’ in their consequentialist rather than </w:t>
      </w:r>
      <w:proofErr w:type="spellStart"/>
      <w:r>
        <w:rPr>
          <w:rFonts w:ascii="Times New Roman" w:eastAsia="Times New Roman" w:hAnsi="Times New Roman" w:cs="Times New Roman"/>
          <w:color w:val="000000"/>
          <w:sz w:val="22"/>
          <w:szCs w:val="22"/>
        </w:rPr>
        <w:t>areteic</w:t>
      </w:r>
      <w:proofErr w:type="spellEnd"/>
      <w:r>
        <w:rPr>
          <w:rFonts w:ascii="Times New Roman" w:eastAsia="Times New Roman" w:hAnsi="Times New Roman" w:cs="Times New Roman"/>
          <w:color w:val="000000"/>
          <w:sz w:val="22"/>
          <w:szCs w:val="22"/>
        </w:rPr>
        <w:t xml:space="preserve"> meaning and support a view of him as an idealized consequentialist.</w:t>
      </w:r>
      <w:r>
        <w:rPr>
          <w:rStyle w:val="Endnoteanchor"/>
        </w:rPr>
        <w:endnoteReference w:id="3"/>
      </w:r>
      <w:r>
        <w:rPr>
          <w:rFonts w:ascii="Times New Roman" w:eastAsia="Times New Roman" w:hAnsi="Times New Roman" w:cs="Times New Roman"/>
          <w:color w:val="000000"/>
          <w:sz w:val="22"/>
          <w:szCs w:val="22"/>
        </w:rPr>
        <w:t xml:space="preserve">  </w:t>
      </w:r>
    </w:p>
    <w:p w14:paraId="53A29172"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The reference to the material content governed by these formal laws is reinforced by the analogy between these formal sciences and formal logic.  Just as the pure logic of consistency or non-contradiction must be supplemented by an account of the soundness of arguments and, therefore, of the truth of their premises, the formal axiological and practical sciences must go beyond formal consistency </w:t>
      </w:r>
      <w:r>
        <w:rPr>
          <w:rFonts w:ascii="Times New Roman" w:eastAsia="Times New Roman" w:hAnsi="Times New Roman" w:cs="Times New Roman"/>
          <w:color w:val="000000"/>
          <w:sz w:val="22"/>
          <w:szCs w:val="22"/>
        </w:rPr>
        <w:lastRenderedPageBreak/>
        <w:t>to evident and rationally insightful judgment in the axiological and practical spheres.  We find an account of such axiological and practical judgments in Husserl’s phenomenological descriptions of evaluative and volitional experience.  From this aspect of Husserl’s thought, we can, I believe, draw a more adequate phenomenological response to both the meta-ethical and normative questions at work in the resurgence of an Aristotelian-style virtue ethics.</w:t>
      </w:r>
    </w:p>
    <w:p w14:paraId="1EB2B32F" w14:textId="77777777" w:rsidR="00010990" w:rsidRDefault="0001099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4890D3B6" w14:textId="77777777" w:rsidR="00010990" w:rsidRDefault="00000000">
      <w:pPr>
        <w:numPr>
          <w:ilvl w:val="0"/>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sz w:val="22"/>
          <w:szCs w:val="22"/>
        </w:rPr>
        <w:t>Valuation</w:t>
      </w:r>
      <w:r>
        <w:rPr>
          <w:rFonts w:ascii="Times New Roman" w:eastAsia="Times New Roman" w:hAnsi="Times New Roman" w:cs="Times New Roman"/>
          <w:color w:val="000000"/>
          <w:sz w:val="22"/>
          <w:szCs w:val="22"/>
        </w:rPr>
        <w:t>.</w:t>
      </w:r>
    </w:p>
    <w:p w14:paraId="7716CB73"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Husserl’s phenomenological accounts of evaluation and volition seek to address, as he puts it, the “conflict between a morality of the understanding </w:t>
      </w:r>
      <w:r>
        <w:rPr>
          <w:rFonts w:ascii="Times New Roman" w:eastAsia="Times New Roman" w:hAnsi="Times New Roman" w:cs="Times New Roman"/>
          <w:i/>
          <w:iCs/>
          <w:color w:val="000000"/>
          <w:sz w:val="22"/>
          <w:szCs w:val="22"/>
        </w:rPr>
        <w:t>(</w:t>
      </w:r>
      <w:proofErr w:type="spellStart"/>
      <w:r>
        <w:rPr>
          <w:rFonts w:ascii="Times New Roman" w:eastAsia="Times New Roman" w:hAnsi="Times New Roman" w:cs="Times New Roman"/>
          <w:i/>
          <w:iCs/>
          <w:color w:val="000000"/>
          <w:sz w:val="22"/>
          <w:szCs w:val="22"/>
        </w:rPr>
        <w:t>Verstandes</w:t>
      </w:r>
      <w:r>
        <w:rPr>
          <w:rFonts w:ascii="Times New Roman" w:eastAsia="Times New Roman" w:hAnsi="Times New Roman" w:cs="Times New Roman"/>
          <w:i/>
          <w:iCs/>
          <w:color w:val="000000"/>
          <w:sz w:val="22"/>
          <w:szCs w:val="22"/>
        </w:rPr>
        <w:softHyphen/>
        <w:t>moral</w:t>
      </w:r>
      <w:proofErr w:type="spellEnd"/>
      <w:r>
        <w:rPr>
          <w:rFonts w:ascii="Times New Roman" w:eastAsia="Times New Roman" w:hAnsi="Times New Roman" w:cs="Times New Roman"/>
          <w:i/>
          <w:iCs/>
          <w:color w:val="000000"/>
          <w:sz w:val="22"/>
          <w:szCs w:val="22"/>
        </w:rPr>
        <w:t xml:space="preserve">) </w:t>
      </w:r>
      <w:r>
        <w:rPr>
          <w:rFonts w:ascii="Times New Roman" w:eastAsia="Times New Roman" w:hAnsi="Times New Roman" w:cs="Times New Roman"/>
          <w:color w:val="000000"/>
          <w:sz w:val="22"/>
          <w:szCs w:val="22"/>
        </w:rPr>
        <w:t xml:space="preserve">and a morality of sentiment </w:t>
      </w:r>
      <w:r>
        <w:rPr>
          <w:rFonts w:ascii="Times New Roman" w:eastAsia="Times New Roman" w:hAnsi="Times New Roman" w:cs="Times New Roman"/>
          <w:i/>
          <w:iCs/>
          <w:color w:val="000000"/>
          <w:sz w:val="22"/>
          <w:szCs w:val="22"/>
        </w:rPr>
        <w:t>(</w:t>
      </w:r>
      <w:proofErr w:type="spellStart"/>
      <w:r>
        <w:rPr>
          <w:rFonts w:ascii="Times New Roman" w:eastAsia="Times New Roman" w:hAnsi="Times New Roman" w:cs="Times New Roman"/>
          <w:i/>
          <w:iCs/>
          <w:color w:val="000000"/>
          <w:sz w:val="22"/>
          <w:szCs w:val="22"/>
        </w:rPr>
        <w:t>Gefühlsmoral</w:t>
      </w:r>
      <w:proofErr w:type="spellEnd"/>
      <w:r>
        <w:rPr>
          <w:rFonts w:ascii="Times New Roman" w:eastAsia="Times New Roman" w:hAnsi="Times New Roman" w:cs="Times New Roman"/>
          <w:i/>
          <w:iCs/>
          <w:color w:val="000000"/>
          <w:sz w:val="22"/>
          <w:szCs w:val="22"/>
        </w:rPr>
        <w:t>)</w:t>
      </w:r>
      <w:r>
        <w:rPr>
          <w:rFonts w:ascii="Times New Roman" w:eastAsia="Times New Roman" w:hAnsi="Times New Roman" w:cs="Times New Roman"/>
          <w:color w:val="000000"/>
          <w:sz w:val="22"/>
          <w:szCs w:val="22"/>
        </w:rPr>
        <w:t xml:space="preserve">” (Husserl 1988, 251).  In other words, Husserl seeks to address the meta-ethical problem concerning moral experience and its relation, or lack thereof, to reason.  Those who argue that moral beliefs and judgments are rooted exclusively in reason Husserl calls “intellectualists” </w:t>
      </w:r>
      <w:r>
        <w:rPr>
          <w:rFonts w:ascii="Times New Roman" w:eastAsia="Times New Roman" w:hAnsi="Times New Roman" w:cs="Times New Roman"/>
          <w:i/>
          <w:iCs/>
          <w:color w:val="000000"/>
          <w:sz w:val="22"/>
          <w:szCs w:val="22"/>
        </w:rPr>
        <w:t>(</w:t>
      </w:r>
      <w:proofErr w:type="spellStart"/>
      <w:r>
        <w:rPr>
          <w:rFonts w:ascii="Times New Roman" w:eastAsia="Times New Roman" w:hAnsi="Times New Roman" w:cs="Times New Roman"/>
          <w:i/>
          <w:iCs/>
          <w:color w:val="000000"/>
          <w:sz w:val="22"/>
          <w:szCs w:val="22"/>
        </w:rPr>
        <w:t>Verstandes</w:t>
      </w:r>
      <w:r>
        <w:rPr>
          <w:rFonts w:ascii="Times New Roman" w:eastAsia="Times New Roman" w:hAnsi="Times New Roman" w:cs="Times New Roman"/>
          <w:i/>
          <w:iCs/>
          <w:color w:val="000000"/>
          <w:sz w:val="22"/>
          <w:szCs w:val="22"/>
        </w:rPr>
        <w:softHyphen/>
        <w:t>moralisten</w:t>
      </w:r>
      <w:proofErr w:type="spellEnd"/>
      <w:r>
        <w:rPr>
          <w:rFonts w:ascii="Times New Roman" w:eastAsia="Times New Roman" w:hAnsi="Times New Roman" w:cs="Times New Roman"/>
          <w:i/>
          <w:iCs/>
          <w:color w:val="000000"/>
          <w:sz w:val="22"/>
          <w:szCs w:val="22"/>
        </w:rPr>
        <w:t xml:space="preserve">) </w:t>
      </w:r>
      <w:r>
        <w:rPr>
          <w:rFonts w:ascii="Times New Roman" w:eastAsia="Times New Roman" w:hAnsi="Times New Roman" w:cs="Times New Roman"/>
          <w:color w:val="000000"/>
          <w:sz w:val="22"/>
          <w:szCs w:val="22"/>
        </w:rPr>
        <w:t xml:space="preserve">and those who ground moral beliefs and judgments exclusively in the feelings or sentiments Husserl calls “sentimentalists” </w:t>
      </w:r>
      <w:r>
        <w:rPr>
          <w:rFonts w:ascii="Times New Roman" w:eastAsia="Times New Roman" w:hAnsi="Times New Roman" w:cs="Times New Roman"/>
          <w:i/>
          <w:iCs/>
          <w:color w:val="000000"/>
          <w:sz w:val="22"/>
          <w:szCs w:val="22"/>
        </w:rPr>
        <w:t>(</w:t>
      </w:r>
      <w:proofErr w:type="spellStart"/>
      <w:r>
        <w:rPr>
          <w:rFonts w:ascii="Times New Roman" w:eastAsia="Times New Roman" w:hAnsi="Times New Roman" w:cs="Times New Roman"/>
          <w:i/>
          <w:iCs/>
          <w:color w:val="000000"/>
          <w:sz w:val="22"/>
          <w:szCs w:val="22"/>
        </w:rPr>
        <w:t>Gefühls</w:t>
      </w:r>
      <w:r>
        <w:rPr>
          <w:rFonts w:ascii="Times New Roman" w:eastAsia="Times New Roman" w:hAnsi="Times New Roman" w:cs="Times New Roman"/>
          <w:i/>
          <w:iCs/>
          <w:color w:val="000000"/>
          <w:sz w:val="22"/>
          <w:szCs w:val="22"/>
        </w:rPr>
        <w:softHyphen/>
        <w:t>moralisten</w:t>
      </w:r>
      <w:proofErr w:type="spellEnd"/>
      <w:r>
        <w:rPr>
          <w:rFonts w:ascii="Times New Roman" w:eastAsia="Times New Roman" w:hAnsi="Times New Roman" w:cs="Times New Roman"/>
          <w:i/>
          <w:iCs/>
          <w:color w:val="000000"/>
          <w:sz w:val="22"/>
          <w:szCs w:val="22"/>
        </w:rPr>
        <w:t>)</w:t>
      </w:r>
      <w:r>
        <w:rPr>
          <w:rFonts w:ascii="Times New Roman" w:eastAsia="Times New Roman" w:hAnsi="Times New Roman" w:cs="Times New Roman"/>
          <w:color w:val="000000"/>
          <w:sz w:val="22"/>
          <w:szCs w:val="22"/>
        </w:rPr>
        <w:t>.  Husserl strikes a middle ground; his descriptions provide an account of evaluative and volitional intention</w:t>
      </w:r>
      <w:r>
        <w:rPr>
          <w:rFonts w:ascii="Times New Roman" w:eastAsia="Times New Roman" w:hAnsi="Times New Roman" w:cs="Times New Roman"/>
          <w:color w:val="000000"/>
          <w:sz w:val="22"/>
          <w:szCs w:val="22"/>
        </w:rPr>
        <w:softHyphen/>
        <w:t xml:space="preserve">ality that clarifies how understanding and emotion jointly function in the axiological and practical spheres.  </w:t>
      </w:r>
    </w:p>
    <w:p w14:paraId="4087EEEB"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Husserl claims that value-attributes are the correlates of feelings and episodic emotions that are the affective response of a subject with a particular experiential history—that is, </w:t>
      </w:r>
      <w:proofErr w:type="gramStart"/>
      <w:r>
        <w:rPr>
          <w:rFonts w:ascii="Times New Roman" w:eastAsia="Times New Roman" w:hAnsi="Times New Roman" w:cs="Times New Roman"/>
          <w:color w:val="000000"/>
          <w:sz w:val="22"/>
          <w:szCs w:val="22"/>
        </w:rPr>
        <w:t>particular beliefs</w:t>
      </w:r>
      <w:proofErr w:type="gramEnd"/>
      <w:r>
        <w:rPr>
          <w:rFonts w:ascii="Times New Roman" w:eastAsia="Times New Roman" w:hAnsi="Times New Roman" w:cs="Times New Roman"/>
          <w:color w:val="000000"/>
          <w:sz w:val="22"/>
          <w:szCs w:val="22"/>
        </w:rPr>
        <w:t xml:space="preserve">, emotional states, dispositions, practical interests, and so forth—to the non-axiological properties of an object or situation.  This claim should be understood against the background of a distinction between two senses of “feeling”: feeling-sensations and intentional feelings (Husserl [1984, 401–10] 1970, 569–75).  The former are merely sensory experiences, for example, the visceral feelings such as the tightening of the abdominal muscles associated, say, with anger and fear.  Intentional feelings, on the other hand, refer to something as their object.  So, for example, liking and disliking are the liking and disliking of something; joy and sadness are joy and sadness in something, and so forth.  The objective reference of the feeling or episodic emotion is derived, however, from an underlying presentation.  That is, the intentional feeling or episodic </w:t>
      </w:r>
      <w:r>
        <w:rPr>
          <w:rFonts w:ascii="Times New Roman" w:eastAsia="Times New Roman" w:hAnsi="Times New Roman" w:cs="Times New Roman"/>
          <w:color w:val="000000"/>
          <w:sz w:val="22"/>
          <w:szCs w:val="22"/>
        </w:rPr>
        <w:lastRenderedPageBreak/>
        <w:t>emotion necessarily contains within itself a moment that presents the object with certain non-axiological properties.</w:t>
      </w:r>
      <w:r>
        <w:rPr>
          <w:rStyle w:val="Endnoteanchor"/>
        </w:rPr>
        <w:endnoteReference w:id="4"/>
      </w:r>
      <w:r>
        <w:rPr>
          <w:rFonts w:ascii="Times New Roman" w:eastAsia="Times New Roman" w:hAnsi="Times New Roman" w:cs="Times New Roman"/>
          <w:color w:val="000000"/>
          <w:sz w:val="22"/>
          <w:szCs w:val="22"/>
        </w:rPr>
        <w:t xml:space="preserve">  </w:t>
      </w:r>
    </w:p>
    <w:p w14:paraId="39E575AD"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In responding affectively to these non-axiological properties, the subject has both sensations of pleasure and pain and an intentional feeling or episodic emotion (approbation or disapprobation, loving or hating, fear or excitement) that presents the affective aspect of—and thereby values or disvalues—the object or situation.  I should note, first, that the feeling-sensations and the intentional feeling need not have the same valence.  In rehabilitating my surgically replaced knee, for example, I experienced pain in response to certain movements and manipulations of my leg, but I nevertheless positively appraised them insofar as they served the end of rehabilitation.  My intentional feeling, in other words, was a feeling of (non-sensuous) pleasure at advancing the rehabilitative project.  I should note, second, that an episodic emotion is distinguished from a simple intentional feeling in this context insofar as it intends in a more determinate way the affective aspect of an object or situation; fear, for example, apprehends a situation not merely as unlikable but as dangerous.  The intentional feeling intends a thin axiological attribute; the episodic emotion intends a thick axiological attribute.  </w:t>
      </w:r>
    </w:p>
    <w:p w14:paraId="32E0528D"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The value-attributes intended are neither separate from nor reducible to the non-axiological properties on which they are founded,</w:t>
      </w:r>
      <w:r>
        <w:rPr>
          <w:rStyle w:val="Endnoteanchor"/>
        </w:rPr>
        <w:endnoteReference w:id="5"/>
      </w:r>
      <w:r>
        <w:rPr>
          <w:rFonts w:ascii="Times New Roman" w:eastAsia="Times New Roman" w:hAnsi="Times New Roman" w:cs="Times New Roman"/>
          <w:color w:val="000000"/>
          <w:sz w:val="22"/>
          <w:szCs w:val="22"/>
        </w:rPr>
        <w:t xml:space="preserve"> but our valuations—precisely insofar as they are grounded on cognitive presentations—track these non-axiological properties.  Conversely, the non-axiological properties provide evidence for the valuation accomplished in the affective response.  The intentional feeling or episodic emotion experienced by the subject is, in other words, justified (or not) by the non-axiological properties underlying it, and the feeling or emotion is “</w:t>
      </w:r>
      <w:proofErr w:type="gramStart"/>
      <w:r>
        <w:rPr>
          <w:rFonts w:ascii="Times New Roman" w:eastAsia="Times New Roman" w:hAnsi="Times New Roman" w:cs="Times New Roman"/>
          <w:color w:val="000000"/>
          <w:sz w:val="22"/>
          <w:szCs w:val="22"/>
        </w:rPr>
        <w:t>correct</w:t>
      </w:r>
      <w:proofErr w:type="gramEnd"/>
      <w:r>
        <w:rPr>
          <w:rFonts w:ascii="Times New Roman" w:eastAsia="Times New Roman" w:hAnsi="Times New Roman" w:cs="Times New Roman"/>
          <w:color w:val="000000"/>
          <w:sz w:val="22"/>
          <w:szCs w:val="22"/>
        </w:rPr>
        <w:t>” or “appropriate” when it is justified and when the underlying apprehension of the non-axiological properties is itself both true and justified.  Modifying a suggestion of Mulligan (1998), we can say,</w:t>
      </w:r>
    </w:p>
    <w:p w14:paraId="62CBC9DB"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E </w:t>
      </w:r>
      <w:r>
        <w:rPr>
          <w:rFonts w:ascii="Times New Roman" w:eastAsia="Times New Roman" w:hAnsi="Times New Roman" w:cs="Times New Roman"/>
          <w:color w:val="000000"/>
          <w:sz w:val="22"/>
          <w:szCs w:val="22"/>
        </w:rPr>
        <w:t xml:space="preserve">is an intentional feeling or episodic emotion whose base </w:t>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either a perceptual (or memorial or imaginative) or judgmental presentation of an object or situation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and its non-axiological properties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xml:space="preserve">, and </w:t>
      </w:r>
      <w:r>
        <w:rPr>
          <w:rFonts w:ascii="Times New Roman" w:eastAsia="Times New Roman" w:hAnsi="Times New Roman" w:cs="Times New Roman"/>
          <w:i/>
          <w:iCs/>
          <w:color w:val="000000"/>
          <w:sz w:val="22"/>
          <w:szCs w:val="22"/>
        </w:rPr>
        <w:t>z</w:t>
      </w:r>
      <w:r>
        <w:rPr>
          <w:rFonts w:ascii="Times New Roman" w:eastAsia="Times New Roman" w:hAnsi="Times New Roman" w:cs="Times New Roman"/>
          <w:color w:val="000000"/>
          <w:sz w:val="22"/>
          <w:szCs w:val="22"/>
        </w:rPr>
        <w:t xml:space="preserve">.  </w:t>
      </w:r>
    </w:p>
    <w:p w14:paraId="3F0BC035"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Stipulating that</w:t>
      </w:r>
    </w:p>
    <w:p w14:paraId="40D98F70"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lastRenderedPageBreak/>
        <w:t>(b)</w:t>
      </w:r>
      <w:r>
        <w:rPr>
          <w:rFonts w:ascii="Times New Roman" w:eastAsia="Times New Roman" w:hAnsi="Times New Roman" w:cs="Times New Roman"/>
          <w:color w:val="000000"/>
          <w:sz w:val="22"/>
          <w:szCs w:val="22"/>
        </w:rPr>
        <w:tab/>
        <w:t xml:space="preserve">“justification” in this context means </w:t>
      </w:r>
      <w:r>
        <w:rPr>
          <w:rFonts w:ascii="Times New Roman" w:eastAsia="Times New Roman" w:hAnsi="Times New Roman" w:cs="Times New Roman"/>
          <w:i/>
          <w:iCs/>
          <w:color w:val="000000"/>
          <w:sz w:val="22"/>
          <w:szCs w:val="22"/>
        </w:rPr>
        <w:t>prima facie</w:t>
      </w:r>
      <w:r>
        <w:rPr>
          <w:rFonts w:ascii="Times New Roman" w:eastAsia="Times New Roman" w:hAnsi="Times New Roman" w:cs="Times New Roman"/>
          <w:color w:val="000000"/>
          <w:sz w:val="22"/>
          <w:szCs w:val="22"/>
        </w:rPr>
        <w:t>, non-inferential, and defeasible justification,</w:t>
      </w:r>
    </w:p>
    <w:p w14:paraId="7560A1E3"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then,</w:t>
      </w:r>
    </w:p>
    <w:p w14:paraId="172F786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(c)</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E </w:t>
      </w:r>
      <w:r>
        <w:rPr>
          <w:rFonts w:ascii="Times New Roman" w:eastAsia="Times New Roman" w:hAnsi="Times New Roman" w:cs="Times New Roman"/>
          <w:color w:val="000000"/>
          <w:sz w:val="22"/>
          <w:szCs w:val="22"/>
        </w:rPr>
        <w:t xml:space="preserve">is appropriate to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and its non-axiological properties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xml:space="preserve">, and </w:t>
      </w:r>
      <w:r>
        <w:rPr>
          <w:rFonts w:ascii="Times New Roman" w:eastAsia="Times New Roman" w:hAnsi="Times New Roman" w:cs="Times New Roman"/>
          <w:i/>
          <w:iCs/>
          <w:color w:val="000000"/>
          <w:sz w:val="22"/>
          <w:szCs w:val="22"/>
        </w:rPr>
        <w:t>z</w:t>
      </w:r>
      <w:r>
        <w:rPr>
          <w:rFonts w:ascii="Times New Roman" w:eastAsia="Times New Roman" w:hAnsi="Times New Roman" w:cs="Times New Roman"/>
          <w:color w:val="000000"/>
          <w:sz w:val="22"/>
          <w:szCs w:val="22"/>
        </w:rPr>
        <w:t xml:space="preserve"> if and only if </w:t>
      </w:r>
    </w:p>
    <w:p w14:paraId="1329DEE8"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a veridical or true presentation of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and of its properties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xml:space="preserve">, and </w:t>
      </w:r>
      <w:r>
        <w:rPr>
          <w:rFonts w:ascii="Times New Roman" w:eastAsia="Times New Roman" w:hAnsi="Times New Roman" w:cs="Times New Roman"/>
          <w:i/>
          <w:iCs/>
          <w:color w:val="000000"/>
          <w:sz w:val="22"/>
          <w:szCs w:val="22"/>
        </w:rPr>
        <w:t>z</w:t>
      </w:r>
      <w:r>
        <w:rPr>
          <w:rFonts w:ascii="Times New Roman" w:eastAsia="Times New Roman" w:hAnsi="Times New Roman" w:cs="Times New Roman"/>
          <w:color w:val="000000"/>
          <w:sz w:val="22"/>
          <w:szCs w:val="22"/>
        </w:rPr>
        <w:t xml:space="preserve">, and </w:t>
      </w:r>
    </w:p>
    <w:p w14:paraId="4859309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(ii)</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justified, and</w:t>
      </w:r>
    </w:p>
    <w:p w14:paraId="20A8ECB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(iii)</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a reason for or rationally motivates </w:t>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w:t>
      </w:r>
    </w:p>
    <w:p w14:paraId="0B8CF6C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 thus incorporates the cognitive content of the presentation.  Since the intentional feeling or episodic emotion incorporates this cognitive content, it can go wrong in two distinct ways.  First, the underlying presentation can be false or unjustified.  Conditions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xml:space="preserve">) and (ii) jointly address these possibilities, ensuring that </w:t>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both true and justified.  To say that </w:t>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or any cognitive intentional content is justified means that it is directly presented to consciousness in a perception—a seeing </w:t>
      </w:r>
      <w:r>
        <w:rPr>
          <w:rFonts w:ascii="Times New Roman" w:eastAsia="Times New Roman" w:hAnsi="Times New Roman" w:cs="Times New Roman"/>
          <w:i/>
          <w:iCs/>
          <w:color w:val="000000"/>
          <w:sz w:val="22"/>
          <w:szCs w:val="22"/>
        </w:rPr>
        <w:t>of</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—or a categorial modification of perception—a seeing </w:t>
      </w:r>
      <w:r>
        <w:rPr>
          <w:rFonts w:ascii="Times New Roman" w:eastAsia="Times New Roman" w:hAnsi="Times New Roman" w:cs="Times New Roman"/>
          <w:i/>
          <w:iCs/>
          <w:color w:val="000000"/>
          <w:sz w:val="22"/>
          <w:szCs w:val="22"/>
        </w:rPr>
        <w:t>that O</w:t>
      </w:r>
      <w:r>
        <w:rPr>
          <w:rFonts w:ascii="Times New Roman" w:eastAsia="Times New Roman" w:hAnsi="Times New Roman" w:cs="Times New Roman"/>
          <w:color w:val="000000"/>
          <w:sz w:val="22"/>
          <w:szCs w:val="22"/>
        </w:rPr>
        <w:t xml:space="preserve"> is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w:t>
      </w:r>
    </w:p>
    <w:p w14:paraId="39E30349"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the case of the moral evaluation of actions, the evaluative moment is complex.  I must evaluate both the ends sought in the action and the conduciveness of the action to those ends as well as to any other ends that might be realized in the situation.  I might, for example, evaluate a supervisor’s angrily shouting at an employee as rude.  My evaluation is immediately grounded in my directly witnessing the shouting behavior or hearing about it from someone whose testimony is reliable.  The behavior rationally motivates my adverse affective response (say, shock or indignation); it is a reason for my felt indignation and the negative evaluation of the shouting behavior.  </w:t>
      </w:r>
    </w:p>
    <w:p w14:paraId="5501D1B3"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This evaluation is possible, however, only to the extent that I have some understanding of what a conversational situation entails and that I have some conception of ‘rudeness.’  That is, certain behaviors or reactions or states are tied as part of their meaning to this conception of rudeness and to a negative evaluation.  For example, conversations need not be conducted at a volume higher than that necessary for the interlocutors to hear one another.  A conversation involving shouting is inconsistent with what the nature of conversation entails (as, of course, are many other behaviors, e.g., intentionally speaking falsely </w:t>
      </w:r>
      <w:proofErr w:type="gramStart"/>
      <w:r>
        <w:rPr>
          <w:rFonts w:ascii="Times New Roman" w:eastAsia="Times New Roman" w:hAnsi="Times New Roman" w:cs="Times New Roman"/>
          <w:color w:val="000000"/>
          <w:sz w:val="22"/>
          <w:szCs w:val="22"/>
        </w:rPr>
        <w:t>in order to</w:t>
      </w:r>
      <w:proofErr w:type="gramEnd"/>
      <w:r>
        <w:rPr>
          <w:rFonts w:ascii="Times New Roman" w:eastAsia="Times New Roman" w:hAnsi="Times New Roman" w:cs="Times New Roman"/>
          <w:color w:val="000000"/>
          <w:sz w:val="22"/>
          <w:szCs w:val="22"/>
        </w:rPr>
        <w:t xml:space="preserve"> mislead), and to resort to shouting does not conduce to realizing the ends of conversation.  </w:t>
      </w:r>
      <w:r>
        <w:rPr>
          <w:rFonts w:ascii="Times New Roman" w:eastAsia="Times New Roman" w:hAnsi="Times New Roman" w:cs="Times New Roman"/>
          <w:color w:val="000000"/>
          <w:sz w:val="22"/>
          <w:szCs w:val="22"/>
        </w:rPr>
        <w:lastRenderedPageBreak/>
        <w:t xml:space="preserve">Shouting is not the kind of thing done when conversing with another.  </w:t>
      </w:r>
    </w:p>
    <w:p w14:paraId="41D6931F"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In experiencing the shouting, then, I immediately and at once recognize the action as rude and disapprove of it.  This indicates that the evaluative moment is rooted in the underlying cognitive dimension and so thoroughly united with it such that it is a “matter of fact” that this shouting behavior is rude.  Anyone who fails to recognize it as rude is mistaken and suffers from a misconception of what constitutes polite and rude behavior.  Experiencing and negatively evaluating the action as rude is based on the features intrinsic to the behavior itself and the ordinary expectation we have about the behaviors appropriate to different kinds of human transactions.  The motivation for the “thick” evaluation of the shouting as rude involves a sense of what features define appropriate behavior and the recognition that the behavior directly experienced conflicts with these features.  The general sense of appropriate behavior is established and modified over time in the light of our untutored, “thin” affective responses and the education of the attitudes and emotions that occurs within the communities to which we belong.</w:t>
      </w:r>
    </w:p>
    <w:p w14:paraId="5FD6F6F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Condition (iii), then, addresses the motivation of the affective moment of the emotion, the valuation of the action as rude.  There are instances, of course, when the underlying cognition </w:t>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true and justified and the emotion, while motivated by </w:t>
      </w:r>
      <w:r>
        <w:rPr>
          <w:rFonts w:ascii="Times New Roman" w:eastAsia="Times New Roman" w:hAnsi="Times New Roman" w:cs="Times New Roman"/>
          <w:i/>
          <w:iCs/>
          <w:color w:val="000000"/>
          <w:sz w:val="22"/>
          <w:szCs w:val="22"/>
        </w:rPr>
        <w:t>p</w:t>
      </w:r>
      <w:r>
        <w:rPr>
          <w:rFonts w:ascii="Times New Roman" w:eastAsia="Times New Roman" w:hAnsi="Times New Roman" w:cs="Times New Roman"/>
          <w:color w:val="000000"/>
          <w:sz w:val="22"/>
          <w:szCs w:val="22"/>
        </w:rPr>
        <w:t xml:space="preserve">, is nevertheless unjustified and inappropriate.  Someone might, for example, have an inordinate fear of heights and refuse to go out on an observation deck she knows to be safe.  She truly and justifiably grasps the non-axiological features of the situation and knows it is most unlikely that she will fall, but she nevertheless fears going out on the deck.  This fear might, in one respect, be perfectly intelligible.  She might have fallen from a height previously and suffered severe injuries.  Nevertheless, she might in this case recognize that her fear is unjustified and inappropriate; indeed, it is perhaps even likely that she will recognize this.  </w:t>
      </w:r>
    </w:p>
    <w:p w14:paraId="54CD080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It is the affective dimension of the experience itself that accounts for this recognition.  Our fearful person might, for example, be embarrassed at refusing to go out on the deck.  Her experience, in other words, includes a moment of self-awareness that has its own affective and evaluative moment.  In fearing to go out on the observation, she is pre-reflectively aware of herself as experiencing fear.  In having and recognizing this emotional reaction, she might also be embarrassed by her fear.  Her embarrassment is a </w:t>
      </w:r>
      <w:r>
        <w:rPr>
          <w:rFonts w:ascii="Times New Roman" w:eastAsia="Times New Roman" w:hAnsi="Times New Roman" w:cs="Times New Roman"/>
          <w:color w:val="000000"/>
          <w:sz w:val="22"/>
          <w:szCs w:val="22"/>
        </w:rPr>
        <w:lastRenderedPageBreak/>
        <w:t xml:space="preserve">negative appraisal of that fear, and it highlights the fact that one aspect of her knowledge of the situation—that is, that the observation deck is safe—fails to justify her fear even as another aspect of her knowledge—that is, the </w:t>
      </w:r>
      <w:proofErr w:type="spellStart"/>
      <w:r>
        <w:rPr>
          <w:rFonts w:ascii="Times New Roman" w:eastAsia="Times New Roman" w:hAnsi="Times New Roman" w:cs="Times New Roman"/>
          <w:color w:val="000000"/>
          <w:sz w:val="22"/>
          <w:szCs w:val="22"/>
        </w:rPr>
        <w:t>the</w:t>
      </w:r>
      <w:proofErr w:type="spellEnd"/>
      <w:r>
        <w:rPr>
          <w:rFonts w:ascii="Times New Roman" w:eastAsia="Times New Roman" w:hAnsi="Times New Roman" w:cs="Times New Roman"/>
          <w:color w:val="000000"/>
          <w:sz w:val="22"/>
          <w:szCs w:val="22"/>
        </w:rPr>
        <w:t xml:space="preserve"> observation deck is high—motivates it.  Hence, there is another justificatory dimension to the evaluative experience beyond conditions (</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to (iii).  This one, however, is an intrinsic, originally pre-reflective dimension of conscious life, and it can be stated as follows:</w:t>
      </w:r>
    </w:p>
    <w:p w14:paraId="58B97AB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(iv)</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 is a reason for and motivates </w:t>
      </w:r>
      <w:r>
        <w:rPr>
          <w:rFonts w:ascii="Times New Roman" w:eastAsia="Times New Roman" w:hAnsi="Times New Roman" w:cs="Times New Roman"/>
          <w:i/>
          <w:iCs/>
          <w:color w:val="000000"/>
          <w:sz w:val="22"/>
          <w:szCs w:val="22"/>
        </w:rPr>
        <w:t>F</w:t>
      </w:r>
      <w:r>
        <w:rPr>
          <w:rFonts w:ascii="Times New Roman" w:eastAsia="Times New Roman" w:hAnsi="Times New Roman" w:cs="Times New Roman"/>
          <w:color w:val="000000"/>
          <w:sz w:val="22"/>
          <w:szCs w:val="22"/>
        </w:rPr>
        <w:t xml:space="preserve">, a (pre-reflectively or reflectively) self-assessing feeling or emotion (such as approbation or pride) that positively appraises </w:t>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w:t>
      </w:r>
    </w:p>
    <w:p w14:paraId="5EA487BB"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Finally, we should add as a requirement for an appropriate feeling or emotion, the </w:t>
      </w:r>
      <w:proofErr w:type="gramStart"/>
      <w:r>
        <w:rPr>
          <w:rFonts w:ascii="Times New Roman" w:eastAsia="Times New Roman" w:hAnsi="Times New Roman" w:cs="Times New Roman"/>
          <w:color w:val="000000"/>
          <w:sz w:val="22"/>
          <w:szCs w:val="22"/>
        </w:rPr>
        <w:t>condition</w:t>
      </w:r>
      <w:proofErr w:type="gramEnd"/>
      <w:r>
        <w:rPr>
          <w:rFonts w:ascii="Times New Roman" w:eastAsia="Times New Roman" w:hAnsi="Times New Roman" w:cs="Times New Roman"/>
          <w:color w:val="000000"/>
          <w:sz w:val="22"/>
          <w:szCs w:val="22"/>
        </w:rPr>
        <w:t xml:space="preserve"> </w:t>
      </w:r>
    </w:p>
    <w:p w14:paraId="68F7E9F2"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(v)</w:t>
      </w:r>
      <w:r>
        <w:rPr>
          <w:rFonts w:ascii="Times New Roman" w:eastAsia="Times New Roman" w:hAnsi="Times New Roman" w:cs="Times New Roman"/>
          <w:color w:val="000000"/>
          <w:sz w:val="22"/>
          <w:szCs w:val="22"/>
        </w:rPr>
        <w:tab/>
        <w:t>no relation of justification mentioned is defeated.</w:t>
      </w:r>
    </w:p>
    <w:p w14:paraId="09D6E107" w14:textId="77777777" w:rsidR="00010990" w:rsidRDefault="0001099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1383838A" w14:textId="77777777" w:rsidR="00010990" w:rsidRDefault="00000000">
      <w:pPr>
        <w:numPr>
          <w:ilvl w:val="0"/>
          <w:numId w:val="4"/>
        </w:numPr>
        <w:tabs>
          <w:tab w:val="left" w:pos="0"/>
          <w:tab w:val="right" w:pos="54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480" w:lineRule="auto"/>
        <w:rPr>
          <w:rFonts w:hint="eastAsia"/>
        </w:rPr>
      </w:pPr>
      <w:r>
        <w:rPr>
          <w:rFonts w:ascii="Times New Roman" w:eastAsia="Times New Roman" w:hAnsi="Times New Roman" w:cs="Times New Roman"/>
          <w:i/>
          <w:iCs/>
          <w:color w:val="000000"/>
          <w:sz w:val="22"/>
          <w:szCs w:val="22"/>
        </w:rPr>
        <w:t>Volition</w:t>
      </w:r>
      <w:r>
        <w:rPr>
          <w:rFonts w:ascii="Times New Roman" w:eastAsia="Times New Roman" w:hAnsi="Times New Roman" w:cs="Times New Roman"/>
          <w:color w:val="000000"/>
          <w:sz w:val="22"/>
          <w:szCs w:val="22"/>
        </w:rPr>
        <w:t>.</w:t>
      </w:r>
    </w:p>
    <w:p w14:paraId="375A0F3D"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 valuation is founded on presentation, so desire and volition are founded on valuation.  This is why neo-Aristotelians insist that virtue is not only the disposition to act in the right way and for the right reasons but also involves having the right attitudes.  If we represent the structure of the valuations involving feeling or emotional episodes as </w:t>
      </w:r>
    </w:p>
    <w:p w14:paraId="1507634A"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values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(i.e., as good)] </w:t>
      </w:r>
      <w:proofErr w:type="gramStart"/>
      <w:r>
        <w:rPr>
          <w:rFonts w:ascii="Times New Roman" w:eastAsia="Times New Roman" w:hAnsi="Times New Roman" w:cs="Times New Roman"/>
          <w:color w:val="000000"/>
          <w:sz w:val="22"/>
          <w:szCs w:val="22"/>
        </w:rPr>
        <w:t>on the basis of</w:t>
      </w:r>
      <w:proofErr w:type="gramEnd"/>
      <w:r>
        <w:rPr>
          <w:rFonts w:ascii="Times New Roman" w:eastAsia="Times New Roman" w:hAnsi="Times New Roman" w:cs="Times New Roman"/>
          <w:color w:val="000000"/>
          <w:sz w:val="22"/>
          <w:szCs w:val="22"/>
        </w:rPr>
        <w:t xml:space="preserve"> presenting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w:t>
      </w:r>
    </w:p>
    <w:p w14:paraId="5778D65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then we can represent the volition grounded in this valuation as </w:t>
      </w:r>
    </w:p>
    <w:p w14:paraId="51C393E2"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S </w:t>
      </w:r>
      <w:r>
        <w:rPr>
          <w:rFonts w:ascii="Times New Roman" w:eastAsia="Times New Roman" w:hAnsi="Times New Roman" w:cs="Times New Roman"/>
          <w:color w:val="000000"/>
          <w:sz w:val="22"/>
          <w:szCs w:val="22"/>
        </w:rPr>
        <w:t xml:space="preserve">effectively chooses (i.e., performs) action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[in the light of end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w:t>
      </w:r>
      <w:proofErr w:type="gramStart"/>
      <w:r>
        <w:rPr>
          <w:rFonts w:ascii="Times New Roman" w:eastAsia="Times New Roman" w:hAnsi="Times New Roman" w:cs="Times New Roman"/>
          <w:color w:val="000000"/>
          <w:sz w:val="22"/>
          <w:szCs w:val="22"/>
        </w:rPr>
        <w:t>on the basis of</w:t>
      </w:r>
      <w:proofErr w:type="gramEnd"/>
      <w:r>
        <w:rPr>
          <w:rFonts w:ascii="Times New Roman" w:eastAsia="Times New Roman" w:hAnsi="Times New Roman" w:cs="Times New Roman"/>
          <w:color w:val="000000"/>
          <w:sz w:val="22"/>
          <w:szCs w:val="22"/>
        </w:rPr>
        <w:t xml:space="preserve"> desiring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on the basis of valuing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on the basis of representing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realizable in action and conducive to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while presenting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not-x</w:t>
      </w:r>
      <w:r>
        <w:rPr>
          <w:rFonts w:ascii="Times New Roman" w:eastAsia="Times New Roman" w:hAnsi="Times New Roman" w:cs="Times New Roman"/>
          <w:color w:val="000000"/>
          <w:sz w:val="22"/>
          <w:szCs w:val="22"/>
        </w:rPr>
        <w:t>).</w:t>
      </w:r>
    </w:p>
    <w:p w14:paraId="570D1B7E"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Assuming for the moment that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is a justified action, (2) represents the Aristotelian ideal of the virtuous person whose beliefs and judgments about good ends and what actions conduce thereto are true, whose attitudes are appropriate, whose actions are right, and in whom there is no conflict between what the agent knows and what the agent feels and desires.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in this case knows the appropriate ends to be sought in action as well as the particulars of the situation in which she is to act, and she acts in a manner conducive to those ends without occurrent deliberation.</w:t>
      </w:r>
    </w:p>
    <w:p w14:paraId="2CE49B2C"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Aristotle, as we know, distinguished the virtuous person from the continent, incontinent, and vicious persons in terms of how the different moments in action are related to one another.  In what follows, I represent some of these alternatives, along with other possibilities, in a way that helps illuminate the </w:t>
      </w:r>
      <w:proofErr w:type="gramStart"/>
      <w:r>
        <w:rPr>
          <w:rFonts w:ascii="Times New Roman" w:eastAsia="Times New Roman" w:hAnsi="Times New Roman" w:cs="Times New Roman"/>
          <w:color w:val="000000"/>
          <w:sz w:val="22"/>
          <w:szCs w:val="22"/>
        </w:rPr>
        <w:t>manner in which</w:t>
      </w:r>
      <w:proofErr w:type="gramEnd"/>
      <w:r>
        <w:rPr>
          <w:rFonts w:ascii="Times New Roman" w:eastAsia="Times New Roman" w:hAnsi="Times New Roman" w:cs="Times New Roman"/>
          <w:color w:val="000000"/>
          <w:sz w:val="22"/>
          <w:szCs w:val="22"/>
        </w:rPr>
        <w:t xml:space="preserve"> a phenomenological account of valuation and volition might move toward a neo-Aristotelianism:</w:t>
      </w:r>
    </w:p>
    <w:p w14:paraId="5921BE2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(3)</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S </w:t>
      </w:r>
      <w:r>
        <w:rPr>
          <w:rFonts w:ascii="Times New Roman" w:eastAsia="Times New Roman" w:hAnsi="Times New Roman" w:cs="Times New Roman"/>
          <w:color w:val="000000"/>
          <w:sz w:val="22"/>
          <w:szCs w:val="22"/>
        </w:rPr>
        <w:t xml:space="preserve">performs </w:t>
      </w:r>
      <w:r>
        <w:rPr>
          <w:rFonts w:ascii="Times New Roman" w:eastAsia="Times New Roman" w:hAnsi="Times New Roman" w:cs="Times New Roman"/>
          <w:i/>
          <w:iCs/>
          <w:color w:val="000000"/>
          <w:sz w:val="22"/>
          <w:szCs w:val="22"/>
        </w:rPr>
        <w:t xml:space="preserve">A </w:t>
      </w:r>
      <w:r>
        <w:rPr>
          <w:rFonts w:ascii="Times New Roman" w:eastAsia="Times New Roman" w:hAnsi="Times New Roman" w:cs="Times New Roman"/>
          <w:color w:val="000000"/>
          <w:sz w:val="22"/>
          <w:szCs w:val="22"/>
        </w:rPr>
        <w:t xml:space="preserve">in the light of end </w:t>
      </w:r>
      <w:r>
        <w:rPr>
          <w:rFonts w:ascii="Times New Roman" w:eastAsia="Times New Roman" w:hAnsi="Times New Roman" w:cs="Times New Roman"/>
          <w:i/>
          <w:iCs/>
          <w:color w:val="000000"/>
          <w:sz w:val="22"/>
          <w:szCs w:val="22"/>
        </w:rPr>
        <w:t xml:space="preserve">G </w:t>
      </w:r>
      <w:r>
        <w:rPr>
          <w:rFonts w:ascii="Times New Roman" w:eastAsia="Times New Roman" w:hAnsi="Times New Roman" w:cs="Times New Roman"/>
          <w:color w:val="000000"/>
          <w:sz w:val="22"/>
          <w:szCs w:val="22"/>
        </w:rPr>
        <w:t xml:space="preserve">(versus end </w:t>
      </w:r>
      <w:r>
        <w:rPr>
          <w:rFonts w:ascii="Times New Roman" w:eastAsia="Times New Roman" w:hAnsi="Times New Roman" w:cs="Times New Roman"/>
          <w:i/>
          <w:iCs/>
          <w:color w:val="000000"/>
          <w:sz w:val="22"/>
          <w:szCs w:val="22"/>
        </w:rPr>
        <w:t>H</w:t>
      </w:r>
      <w:r>
        <w:rPr>
          <w:rFonts w:ascii="Times New Roman" w:eastAsia="Times New Roman" w:hAnsi="Times New Roman" w:cs="Times New Roman"/>
          <w:color w:val="000000"/>
          <w:sz w:val="22"/>
          <w:szCs w:val="22"/>
        </w:rPr>
        <w:t xml:space="preserve">) </w:t>
      </w:r>
      <w:proofErr w:type="gramStart"/>
      <w:r>
        <w:rPr>
          <w:rFonts w:ascii="Times New Roman" w:eastAsia="Times New Roman" w:hAnsi="Times New Roman" w:cs="Times New Roman"/>
          <w:color w:val="000000"/>
          <w:sz w:val="22"/>
          <w:szCs w:val="22"/>
        </w:rPr>
        <w:t>on the basis of</w:t>
      </w:r>
      <w:proofErr w:type="gramEnd"/>
      <w:r>
        <w:rPr>
          <w:rFonts w:ascii="Times New Roman" w:eastAsia="Times New Roman" w:hAnsi="Times New Roman" w:cs="Times New Roman"/>
          <w:color w:val="000000"/>
          <w:sz w:val="22"/>
          <w:szCs w:val="22"/>
        </w:rPr>
        <w:t xml:space="preserve"> preferring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to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on the basis of valuing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on the basis of representing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realizable in action and conducive to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while presenting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not-x</w:t>
      </w:r>
      <w:r>
        <w:rPr>
          <w:rFonts w:ascii="Times New Roman" w:eastAsia="Times New Roman" w:hAnsi="Times New Roman" w:cs="Times New Roman"/>
          <w:color w:val="000000"/>
          <w:sz w:val="22"/>
          <w:szCs w:val="22"/>
        </w:rPr>
        <w:t>).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could be presented as either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xml:space="preserve"> or </w:t>
      </w:r>
      <w:r>
        <w:rPr>
          <w:rFonts w:ascii="Times New Roman" w:eastAsia="Times New Roman" w:hAnsi="Times New Roman" w:cs="Times New Roman"/>
          <w:i/>
          <w:iCs/>
          <w:color w:val="000000"/>
          <w:sz w:val="22"/>
          <w:szCs w:val="22"/>
        </w:rPr>
        <w:t>not-y</w:t>
      </w:r>
      <w:r>
        <w:rPr>
          <w:rFonts w:ascii="Times New Roman" w:eastAsia="Times New Roman" w:hAnsi="Times New Roman" w:cs="Times New Roman"/>
          <w:color w:val="000000"/>
          <w:sz w:val="22"/>
          <w:szCs w:val="22"/>
        </w:rPr>
        <w:t xml:space="preserve">, but this is not important to the example; in the latter case,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would also have to be represented as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xml:space="preserve">, as realizable in action and as conducive to </w:t>
      </w:r>
      <w:r>
        <w:rPr>
          <w:rFonts w:ascii="Times New Roman" w:eastAsia="Times New Roman" w:hAnsi="Times New Roman" w:cs="Times New Roman"/>
          <w:i/>
          <w:iCs/>
          <w:color w:val="000000"/>
          <w:sz w:val="22"/>
          <w:szCs w:val="22"/>
        </w:rPr>
        <w:t>H</w:t>
      </w:r>
      <w:r>
        <w:rPr>
          <w:rFonts w:ascii="Times New Roman" w:eastAsia="Times New Roman" w:hAnsi="Times New Roman" w:cs="Times New Roman"/>
          <w:color w:val="000000"/>
          <w:sz w:val="22"/>
          <w:szCs w:val="22"/>
        </w:rPr>
        <w:t xml:space="preserve">.  The focus of the example, however, is on the situation to be </w:t>
      </w:r>
      <w:proofErr w:type="gramStart"/>
      <w:r>
        <w:rPr>
          <w:rFonts w:ascii="Times New Roman" w:eastAsia="Times New Roman" w:hAnsi="Times New Roman" w:cs="Times New Roman"/>
          <w:color w:val="000000"/>
          <w:sz w:val="22"/>
          <w:szCs w:val="22"/>
        </w:rPr>
        <w:t>actually realized</w:t>
      </w:r>
      <w:proofErr w:type="gramEnd"/>
      <w:r>
        <w:rPr>
          <w:rFonts w:ascii="Times New Roman" w:eastAsia="Times New Roman" w:hAnsi="Times New Roman" w:cs="Times New Roman"/>
          <w:color w:val="000000"/>
          <w:sz w:val="22"/>
          <w:szCs w:val="22"/>
        </w:rPr>
        <w:t xml:space="preserve"> by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w:t>
      </w:r>
    </w:p>
    <w:p w14:paraId="7E87B4FA"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This case might be understood in two different ways.  On the one hand,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might be disposed to value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but the situation is such that by focusing one’s attention on different non-axiological features, different goods to be achieved come to the fore.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recognizes that casting the situation in one way is preferable to casting it the other way because it involves an end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that is more valuable to pursue than the merely apparent or lower good </w:t>
      </w:r>
      <w:r>
        <w:rPr>
          <w:rFonts w:ascii="Times New Roman" w:eastAsia="Times New Roman" w:hAnsi="Times New Roman" w:cs="Times New Roman"/>
          <w:i/>
          <w:iCs/>
          <w:color w:val="000000"/>
          <w:sz w:val="22"/>
          <w:szCs w:val="22"/>
        </w:rPr>
        <w:t>H</w:t>
      </w:r>
      <w:r>
        <w:rPr>
          <w:rFonts w:ascii="Times New Roman" w:eastAsia="Times New Roman" w:hAnsi="Times New Roman" w:cs="Times New Roman"/>
          <w:color w:val="000000"/>
          <w:sz w:val="22"/>
          <w:szCs w:val="22"/>
        </w:rPr>
        <w:t xml:space="preserve">.  In this case,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a virtuous agent, is tempted to perform an action that allows a bad or worse situation to arise or endure, but her virtue defeats the temptation.  The presence of the temptation means that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must deliberate about the competing ends as well as about the action that best conduces to the chosen end.  On the other hand,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might not be ordinarily disposed to value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or to do the right action.  Torn between the two </w:t>
      </w:r>
      <w:proofErr w:type="spellStart"/>
      <w:r>
        <w:rPr>
          <w:rFonts w:ascii="Times New Roman" w:eastAsia="Times New Roman" w:hAnsi="Times New Roman" w:cs="Times New Roman"/>
          <w:color w:val="000000"/>
          <w:sz w:val="22"/>
          <w:szCs w:val="22"/>
        </w:rPr>
        <w:t>choiceworthy</w:t>
      </w:r>
      <w:proofErr w:type="spellEnd"/>
      <w:r>
        <w:rPr>
          <w:rFonts w:ascii="Times New Roman" w:eastAsia="Times New Roman" w:hAnsi="Times New Roman" w:cs="Times New Roman"/>
          <w:color w:val="000000"/>
          <w:sz w:val="22"/>
          <w:szCs w:val="22"/>
        </w:rPr>
        <w:t xml:space="preserve"> ends, she nevertheless recognizes that </w:t>
      </w:r>
      <w:r>
        <w:rPr>
          <w:rFonts w:ascii="Times New Roman" w:eastAsia="Times New Roman" w:hAnsi="Times New Roman" w:cs="Times New Roman"/>
          <w:i/>
          <w:iCs/>
          <w:color w:val="000000"/>
          <w:sz w:val="22"/>
          <w:szCs w:val="22"/>
        </w:rPr>
        <w:t xml:space="preserve">G </w:t>
      </w:r>
      <w:r>
        <w:rPr>
          <w:rFonts w:ascii="Times New Roman" w:eastAsia="Times New Roman" w:hAnsi="Times New Roman" w:cs="Times New Roman"/>
          <w:color w:val="000000"/>
          <w:sz w:val="22"/>
          <w:szCs w:val="22"/>
        </w:rPr>
        <w:t xml:space="preserve">is the higher good and desires its realization.  In this case </w:t>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acts like the virtuous agent acts, but she does not act from virtue.</w:t>
      </w:r>
    </w:p>
    <w:p w14:paraId="3736D57B"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Both cases are different from Aristotle’s continent agent who has true knowledge of the proper ends of action but acts against her desires or inclinations.  We might represent this agent as follows:</w:t>
      </w:r>
    </w:p>
    <w:p w14:paraId="4DA8907F"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(4)</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S </w:t>
      </w:r>
      <w:r>
        <w:rPr>
          <w:rFonts w:ascii="Times New Roman" w:eastAsia="Times New Roman" w:hAnsi="Times New Roman" w:cs="Times New Roman"/>
          <w:color w:val="000000"/>
          <w:sz w:val="22"/>
          <w:szCs w:val="22"/>
        </w:rPr>
        <w:t xml:space="preserve">performs </w:t>
      </w:r>
      <w:r>
        <w:rPr>
          <w:rFonts w:ascii="Times New Roman" w:eastAsia="Times New Roman" w:hAnsi="Times New Roman" w:cs="Times New Roman"/>
          <w:i/>
          <w:iCs/>
          <w:color w:val="000000"/>
          <w:sz w:val="22"/>
          <w:szCs w:val="22"/>
        </w:rPr>
        <w:t xml:space="preserve">A </w:t>
      </w:r>
      <w:r>
        <w:rPr>
          <w:rFonts w:ascii="Times New Roman" w:eastAsia="Times New Roman" w:hAnsi="Times New Roman" w:cs="Times New Roman"/>
          <w:color w:val="000000"/>
          <w:sz w:val="22"/>
          <w:szCs w:val="22"/>
        </w:rPr>
        <w:t xml:space="preserve">in the light of end </w:t>
      </w:r>
      <w:r>
        <w:rPr>
          <w:rFonts w:ascii="Times New Roman" w:eastAsia="Times New Roman" w:hAnsi="Times New Roman" w:cs="Times New Roman"/>
          <w:i/>
          <w:iCs/>
          <w:color w:val="000000"/>
          <w:sz w:val="22"/>
          <w:szCs w:val="22"/>
        </w:rPr>
        <w:t xml:space="preserve">G </w:t>
      </w:r>
      <w:proofErr w:type="gramStart"/>
      <w:r>
        <w:rPr>
          <w:rFonts w:ascii="Times New Roman" w:eastAsia="Times New Roman" w:hAnsi="Times New Roman" w:cs="Times New Roman"/>
          <w:color w:val="000000"/>
          <w:sz w:val="22"/>
          <w:szCs w:val="22"/>
        </w:rPr>
        <w:t>on the basis of</w:t>
      </w:r>
      <w:proofErr w:type="gramEnd"/>
      <w:r>
        <w:rPr>
          <w:rFonts w:ascii="Times New Roman" w:eastAsia="Times New Roman" w:hAnsi="Times New Roman" w:cs="Times New Roman"/>
          <w:color w:val="000000"/>
          <w:sz w:val="22"/>
          <w:szCs w:val="22"/>
        </w:rPr>
        <w:t xml:space="preserve"> valuing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while preferring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y</w:t>
      </w:r>
      <w:r>
        <w:rPr>
          <w:rFonts w:ascii="Times New Roman" w:eastAsia="Times New Roman" w:hAnsi="Times New Roman" w:cs="Times New Roman"/>
          <w:color w:val="000000"/>
          <w:sz w:val="22"/>
          <w:szCs w:val="22"/>
        </w:rPr>
        <w:t>) to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all this on the basis of representing [(</w:t>
      </w:r>
      <w:r>
        <w:rPr>
          <w:rFonts w:ascii="Times New Roman" w:eastAsia="Times New Roman" w:hAnsi="Times New Roman" w:cs="Times New Roman"/>
          <w:i/>
          <w:iCs/>
          <w:color w:val="000000"/>
          <w:sz w:val="22"/>
          <w:szCs w:val="22"/>
        </w:rPr>
        <w:t>O</w:t>
      </w:r>
      <w:r>
        <w:rPr>
          <w:rFonts w:ascii="Times New Roman" w:eastAsia="Times New Roman" w:hAnsi="Times New Roman" w:cs="Times New Roman"/>
          <w:color w:val="000000"/>
          <w:sz w:val="22"/>
          <w:szCs w:val="22"/>
        </w:rPr>
        <w:t xml:space="preserve"> as </w:t>
      </w:r>
      <w:r>
        <w:rPr>
          <w:rFonts w:ascii="Times New Roman" w:eastAsia="Times New Roman" w:hAnsi="Times New Roman" w:cs="Times New Roman"/>
          <w:i/>
          <w:iCs/>
          <w:color w:val="000000"/>
          <w:sz w:val="22"/>
          <w:szCs w:val="22"/>
        </w:rPr>
        <w:t>x</w:t>
      </w:r>
      <w:r>
        <w:rPr>
          <w:rFonts w:ascii="Times New Roman" w:eastAsia="Times New Roman" w:hAnsi="Times New Roman" w:cs="Times New Roman"/>
          <w:color w:val="000000"/>
          <w:sz w:val="22"/>
          <w:szCs w:val="22"/>
        </w:rPr>
        <w:t xml:space="preserve">) as realizable in action and conducive to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while </w:t>
      </w:r>
      <w:r>
        <w:rPr>
          <w:rFonts w:ascii="Times New Roman" w:eastAsia="Times New Roman" w:hAnsi="Times New Roman" w:cs="Times New Roman"/>
          <w:color w:val="000000"/>
          <w:sz w:val="22"/>
          <w:szCs w:val="22"/>
        </w:rPr>
        <w:lastRenderedPageBreak/>
        <w:t>presenting (</w:t>
      </w:r>
      <w:r>
        <w:rPr>
          <w:rFonts w:ascii="Times New Roman" w:eastAsia="Times New Roman" w:hAnsi="Times New Roman" w:cs="Times New Roman"/>
          <w:i/>
          <w:iCs/>
          <w:color w:val="000000"/>
          <w:sz w:val="22"/>
          <w:szCs w:val="22"/>
        </w:rPr>
        <w:t xml:space="preserve">O </w:t>
      </w:r>
      <w:r>
        <w:rPr>
          <w:rFonts w:ascii="Times New Roman" w:eastAsia="Times New Roman" w:hAnsi="Times New Roman" w:cs="Times New Roman"/>
          <w:color w:val="000000"/>
          <w:sz w:val="22"/>
          <w:szCs w:val="22"/>
        </w:rPr>
        <w:t xml:space="preserve">as </w:t>
      </w:r>
      <w:r>
        <w:rPr>
          <w:rFonts w:ascii="Times New Roman" w:eastAsia="Times New Roman" w:hAnsi="Times New Roman" w:cs="Times New Roman"/>
          <w:i/>
          <w:iCs/>
          <w:color w:val="000000"/>
          <w:sz w:val="22"/>
          <w:szCs w:val="22"/>
        </w:rPr>
        <w:t>not-x</w:t>
      </w:r>
      <w:r>
        <w:rPr>
          <w:rFonts w:ascii="Times New Roman" w:eastAsia="Times New Roman" w:hAnsi="Times New Roman" w:cs="Times New Roman"/>
          <w:color w:val="000000"/>
          <w:sz w:val="22"/>
          <w:szCs w:val="22"/>
        </w:rPr>
        <w:t>)</w:t>
      </w:r>
      <w:r>
        <w:rPr>
          <w:rFonts w:ascii="Times New Roman" w:eastAsia="Times New Roman" w:hAnsi="Times New Roman" w:cs="Times New Roman"/>
          <w:i/>
          <w:iCs/>
          <w:color w:val="000000"/>
          <w:sz w:val="22"/>
          <w:szCs w:val="22"/>
        </w:rPr>
        <w:t>.</w:t>
      </w:r>
    </w:p>
    <w:p w14:paraId="56BC368C"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These phenomenological characterizations point to a model of moral decision-making as the activity of weighing competing goods or apparent goods and the actions conducing to them in a deliberative activity that is either occurrent or that has been accomplished over time in such a way as to dispose the agent toward a certain kind of action.  As various judgments and valuations are made and confirmed, they become convictions of the subject that inform subsequent judgments, valuations, and volitions.  These </w:t>
      </w:r>
      <w:proofErr w:type="spellStart"/>
      <w:r>
        <w:rPr>
          <w:rFonts w:ascii="Times New Roman" w:eastAsia="Times New Roman" w:hAnsi="Times New Roman" w:cs="Times New Roman"/>
          <w:color w:val="000000"/>
          <w:sz w:val="22"/>
          <w:szCs w:val="22"/>
        </w:rPr>
        <w:t>habitualities</w:t>
      </w:r>
      <w:proofErr w:type="spellEnd"/>
      <w:r>
        <w:rPr>
          <w:rFonts w:ascii="Times New Roman" w:eastAsia="Times New Roman" w:hAnsi="Times New Roman" w:cs="Times New Roman"/>
          <w:color w:val="000000"/>
          <w:sz w:val="22"/>
          <w:szCs w:val="22"/>
        </w:rPr>
        <w:t>, as Husserl calls them, make up our dispositions to expect certain features in certain kinds of situations, to pick out what is morally salient in those situations, to have certain kinds of attitudes toward them, and to act in determinate ways.  This is just the kind of dispositional state that Aristotle has in mind when he speaks of virtues as states or habits or dispositions to have the right attitudes and to act rightly and from the right reasons.</w:t>
      </w:r>
    </w:p>
    <w:p w14:paraId="0D856D9B"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This model of practical reason is very different from that which sees moral decision-making as rendering a verdict about an action’s conformity to law.  Even in cases where one experiences a felt demand to act in a certain manner, that felt demand is in response to understanding something as a good overriding (at least </w:t>
      </w:r>
      <w:proofErr w:type="gramStart"/>
      <w:r>
        <w:rPr>
          <w:rFonts w:ascii="Times New Roman" w:eastAsia="Times New Roman" w:hAnsi="Times New Roman" w:cs="Times New Roman"/>
          <w:color w:val="000000"/>
          <w:sz w:val="22"/>
          <w:szCs w:val="22"/>
        </w:rPr>
        <w:t>in the situation in which</w:t>
      </w:r>
      <w:proofErr w:type="gramEnd"/>
      <w:r>
        <w:rPr>
          <w:rFonts w:ascii="Times New Roman" w:eastAsia="Times New Roman" w:hAnsi="Times New Roman" w:cs="Times New Roman"/>
          <w:color w:val="000000"/>
          <w:sz w:val="22"/>
          <w:szCs w:val="22"/>
        </w:rPr>
        <w:t xml:space="preserve"> the action is to occur) other goods or apparent goods.  Moreover, it is not merely the case that deliberation involves two goods, where the pursuit of one of those goods would clearly enough be wrong.  Much more important, and much more interesting, are those cases where the deliberation involves weighing competing goods when the competing goods are genuine goods to be realized in the situation, as when the requirements of kindness and honesty to a friend force careful deliberation about how to tell one’s friend what honesty requires when doing so can cause the friend great pain.  Moral deliberation requires that we find the right balance between what honesty requires where kindness is appropriate and what kindness requires where honesty is needed, and not merely that we choose one good to the exclusion of the other and certainly not that we render a verdict concerning whether the action we propose to take conforms to universal law.  </w:t>
      </w:r>
    </w:p>
    <w:p w14:paraId="52CA977E" w14:textId="77777777" w:rsidR="00010990" w:rsidRDefault="0001099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4122A1DA"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4.  </w:t>
      </w:r>
      <w:r>
        <w:rPr>
          <w:rFonts w:ascii="Times New Roman" w:eastAsia="Times New Roman" w:hAnsi="Times New Roman" w:cs="Times New Roman"/>
          <w:i/>
          <w:iCs/>
          <w:color w:val="000000"/>
          <w:sz w:val="22"/>
          <w:szCs w:val="22"/>
        </w:rPr>
        <w:t>Goods for an agent and others and the goods of agency: transition to obligation.</w:t>
      </w:r>
    </w:p>
    <w:p w14:paraId="68A8034E"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Agents pursue goods for themselves and others in particular historical and cultural contexts.  Hence, there is bound to be some variation in defining the goods to be pursued and in ranking them in appropriate preferences.  Indeed, competing goods might be ranked differently even by the same agent at different times without any contradiction.  In some periods in life, for example, an agent might devote more time and concern to realizing the goods of parenting, whereas in different periods that same agent might devote more time and concern to realizing professional and career goods.  </w:t>
      </w:r>
    </w:p>
    <w:p w14:paraId="1093C2BF"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The experiences I have described nevertheless have a notion of truth proper to them.  There is the truth or veridicality that belongs to the underlying presentation.  There is the appropriateness of the evaluative moment involved in action, and there is as well the rightness of an action conducing to an appropriately valued end involved in the deliberative and volitional moments.  The virtuous agent is the one who correctly grasps and assesses situations, who has properly appraised ends and has appropriately ordered her preferences among them, who has deliberated well about what actions conduce to what ends, and who effectively chooses the right action for the circumstances.  For such an agent, it is important to note, following the example of the </w:t>
      </w:r>
      <w:proofErr w:type="spellStart"/>
      <w:r>
        <w:rPr>
          <w:rFonts w:ascii="Times New Roman" w:eastAsia="Times New Roman" w:hAnsi="Times New Roman" w:cs="Times New Roman"/>
          <w:i/>
          <w:iCs/>
          <w:color w:val="000000"/>
          <w:sz w:val="22"/>
          <w:szCs w:val="22"/>
        </w:rPr>
        <w:t>phronimos</w:t>
      </w:r>
      <w:proofErr w:type="spellEnd"/>
      <w:r>
        <w:rPr>
          <w:rFonts w:ascii="Times New Roman" w:eastAsia="Times New Roman" w:hAnsi="Times New Roman" w:cs="Times New Roman"/>
          <w:color w:val="000000"/>
          <w:sz w:val="22"/>
          <w:szCs w:val="22"/>
        </w:rPr>
        <w:t xml:space="preserve"> is insufficient.  The virtuous agent lives self-responsibly, judging, valuing, and deciding for herself rather than passively accepting received attitudes and opinions.  The self-responsible agent, acting virtuously in the pursuit of true goods </w:t>
      </w:r>
      <w:r>
        <w:rPr>
          <w:rFonts w:ascii="Times New Roman" w:eastAsia="Times New Roman" w:hAnsi="Times New Roman" w:cs="Times New Roman"/>
          <w:i/>
          <w:iCs/>
          <w:color w:val="000000"/>
          <w:sz w:val="22"/>
          <w:szCs w:val="22"/>
        </w:rPr>
        <w:t>for</w:t>
      </w:r>
      <w:r>
        <w:rPr>
          <w:rFonts w:ascii="Times New Roman" w:eastAsia="Times New Roman" w:hAnsi="Times New Roman" w:cs="Times New Roman"/>
          <w:color w:val="000000"/>
          <w:sz w:val="22"/>
          <w:szCs w:val="22"/>
        </w:rPr>
        <w:t xml:space="preserve"> herself and </w:t>
      </w:r>
      <w:r>
        <w:rPr>
          <w:rFonts w:ascii="Times New Roman" w:eastAsia="Times New Roman" w:hAnsi="Times New Roman" w:cs="Times New Roman"/>
          <w:i/>
          <w:iCs/>
          <w:color w:val="000000"/>
          <w:sz w:val="22"/>
          <w:szCs w:val="22"/>
        </w:rPr>
        <w:t>for</w:t>
      </w:r>
      <w:r>
        <w:rPr>
          <w:rFonts w:ascii="Times New Roman" w:eastAsia="Times New Roman" w:hAnsi="Times New Roman" w:cs="Times New Roman"/>
          <w:color w:val="000000"/>
          <w:sz w:val="22"/>
          <w:szCs w:val="22"/>
        </w:rPr>
        <w:t xml:space="preserve"> others, also realizes the goods of thinking well, feeling well, and acting well—what we might call the goods </w:t>
      </w:r>
      <w:r>
        <w:rPr>
          <w:rFonts w:ascii="Times New Roman" w:eastAsia="Times New Roman" w:hAnsi="Times New Roman" w:cs="Times New Roman"/>
          <w:i/>
          <w:iCs/>
          <w:color w:val="000000"/>
          <w:sz w:val="22"/>
          <w:szCs w:val="22"/>
        </w:rPr>
        <w:t xml:space="preserve">of </w:t>
      </w:r>
      <w:r>
        <w:rPr>
          <w:rFonts w:ascii="Times New Roman" w:eastAsia="Times New Roman" w:hAnsi="Times New Roman" w:cs="Times New Roman"/>
          <w:color w:val="000000"/>
          <w:sz w:val="22"/>
          <w:szCs w:val="22"/>
        </w:rPr>
        <w:t>agency.</w:t>
      </w:r>
      <w:r>
        <w:rPr>
          <w:rStyle w:val="Endnoteanchor"/>
        </w:rPr>
        <w:endnoteReference w:id="6"/>
      </w:r>
      <w:r>
        <w:rPr>
          <w:rFonts w:ascii="Times New Roman" w:eastAsia="Times New Roman" w:hAnsi="Times New Roman" w:cs="Times New Roman"/>
          <w:color w:val="000000"/>
          <w:sz w:val="22"/>
          <w:szCs w:val="22"/>
        </w:rPr>
        <w:t xml:space="preserve">  The goods of agency are realized in the synthetic performances and achievements of subjects whose cognitive, affective, and volitional experiences both disclose and fashion the world as morally ordered.  Husserl uses the language of “authenticity” to describe this kind of life, but this is not the authenticity of the axiological anti-realists.  Authenticity is not self-expression; it is self-responsibility, taking responsibility for one’s convictions, for disclosing the evidence that warrants those convictions.  It is in this moment of self-responsibility, I believe, that we find the </w:t>
      </w:r>
      <w:proofErr w:type="spellStart"/>
      <w:r>
        <w:rPr>
          <w:rFonts w:ascii="Times New Roman" w:eastAsia="Times New Roman" w:hAnsi="Times New Roman" w:cs="Times New Roman"/>
          <w:color w:val="000000"/>
          <w:sz w:val="22"/>
          <w:szCs w:val="22"/>
        </w:rPr>
        <w:t>eudaimonistic</w:t>
      </w:r>
      <w:proofErr w:type="spellEnd"/>
      <w:r>
        <w:rPr>
          <w:rFonts w:ascii="Times New Roman" w:eastAsia="Times New Roman" w:hAnsi="Times New Roman" w:cs="Times New Roman"/>
          <w:color w:val="000000"/>
          <w:sz w:val="22"/>
          <w:szCs w:val="22"/>
        </w:rPr>
        <w:t xml:space="preserve"> character of the phenomenological axiology I have sketched.  It is the self-responsible life that is the flourishing life for rational agents.  Subjectivity has a fundamental teleological structure ordered to thinking, feeling, and acting well, i.e., to self-responsibly thinking, feeling, and acting in the light of rational justification.</w:t>
      </w:r>
    </w:p>
    <w:p w14:paraId="0FA2D31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lastRenderedPageBreak/>
        <w:t xml:space="preserve">Thinking truly, feeling appropriately, and acting rightly are goods properly realized only in intersubjective contexts when others also realize them.  The apprehension of moral goods, decisions about how best to realize those goods, and evaluative judgments about our own actions, the actions of others, and social practices and institutions all arise against the background of a common knowledge embodied in our collective determinations of </w:t>
      </w:r>
      <w:proofErr w:type="spellStart"/>
      <w:r>
        <w:rPr>
          <w:rFonts w:ascii="Times New Roman" w:eastAsia="Times New Roman" w:hAnsi="Times New Roman" w:cs="Times New Roman"/>
          <w:color w:val="000000"/>
          <w:sz w:val="22"/>
          <w:szCs w:val="22"/>
        </w:rPr>
        <w:t>choiceworthy</w:t>
      </w:r>
      <w:proofErr w:type="spellEnd"/>
      <w:r>
        <w:rPr>
          <w:rFonts w:ascii="Times New Roman" w:eastAsia="Times New Roman" w:hAnsi="Times New Roman" w:cs="Times New Roman"/>
          <w:color w:val="000000"/>
          <w:sz w:val="22"/>
          <w:szCs w:val="22"/>
        </w:rPr>
        <w:t xml:space="preserve"> goods and praiseworthy actions.  This common knowledge—our notion of rudeness, for example, or kindness or honesty—is passed from one generation to the next by means of the stories we tell young people, the songs we sing, the practices we adopt, the laws we write, the institutions we establish, even the games we play.  Moreover, it continues to be worked out, criticized, reappropriated, and modified within successive generations in our encounters with one another, with those whose opinions or reasoning might differ from our own.  Our own opinions and beliefs must be tested against the opinions and beliefs of others.  Only in coming to grips with differing opinions and beliefs can we truly be said to come to know ourselves as a person holding certain convictions that have withstood a certain kind of testing.  In other words, one does not and cannot reason well by oneself.  </w:t>
      </w:r>
      <w:proofErr w:type="gramStart"/>
      <w:r>
        <w:rPr>
          <w:rFonts w:ascii="Times New Roman" w:eastAsia="Times New Roman" w:hAnsi="Times New Roman" w:cs="Times New Roman"/>
          <w:color w:val="000000"/>
          <w:sz w:val="22"/>
          <w:szCs w:val="22"/>
        </w:rPr>
        <w:t>In order to</w:t>
      </w:r>
      <w:proofErr w:type="gramEnd"/>
      <w:r>
        <w:rPr>
          <w:rFonts w:ascii="Times New Roman" w:eastAsia="Times New Roman" w:hAnsi="Times New Roman" w:cs="Times New Roman"/>
          <w:color w:val="000000"/>
          <w:sz w:val="22"/>
          <w:szCs w:val="22"/>
        </w:rPr>
        <w:t xml:space="preserve"> be self-responsible and to realize the goods </w:t>
      </w:r>
      <w:r>
        <w:rPr>
          <w:rFonts w:ascii="Times New Roman" w:eastAsia="Times New Roman" w:hAnsi="Times New Roman" w:cs="Times New Roman"/>
          <w:i/>
          <w:iCs/>
          <w:color w:val="000000"/>
          <w:sz w:val="22"/>
          <w:szCs w:val="22"/>
        </w:rPr>
        <w:t>of</w:t>
      </w:r>
      <w:r>
        <w:rPr>
          <w:rFonts w:ascii="Times New Roman" w:eastAsia="Times New Roman" w:hAnsi="Times New Roman" w:cs="Times New Roman"/>
          <w:color w:val="000000"/>
          <w:sz w:val="22"/>
          <w:szCs w:val="22"/>
        </w:rPr>
        <w:t xml:space="preserve"> agency, one must think </w:t>
      </w:r>
      <w:r>
        <w:rPr>
          <w:rFonts w:ascii="Times New Roman" w:eastAsia="Times New Roman" w:hAnsi="Times New Roman" w:cs="Times New Roman"/>
          <w:i/>
          <w:iCs/>
          <w:color w:val="000000"/>
          <w:sz w:val="22"/>
          <w:szCs w:val="22"/>
        </w:rPr>
        <w:t>for</w:t>
      </w:r>
      <w:r>
        <w:rPr>
          <w:rFonts w:ascii="Times New Roman" w:eastAsia="Times New Roman" w:hAnsi="Times New Roman" w:cs="Times New Roman"/>
          <w:color w:val="000000"/>
          <w:sz w:val="22"/>
          <w:szCs w:val="22"/>
        </w:rPr>
        <w:t xml:space="preserve"> oneself, but since one cannot rightly think </w:t>
      </w:r>
      <w:r>
        <w:rPr>
          <w:rFonts w:ascii="Times New Roman" w:eastAsia="Times New Roman" w:hAnsi="Times New Roman" w:cs="Times New Roman"/>
          <w:i/>
          <w:iCs/>
          <w:color w:val="000000"/>
          <w:sz w:val="22"/>
          <w:szCs w:val="22"/>
        </w:rPr>
        <w:t>by</w:t>
      </w:r>
      <w:r>
        <w:rPr>
          <w:rFonts w:ascii="Times New Roman" w:eastAsia="Times New Roman" w:hAnsi="Times New Roman" w:cs="Times New Roman"/>
          <w:color w:val="000000"/>
          <w:sz w:val="22"/>
          <w:szCs w:val="22"/>
        </w:rPr>
        <w:t xml:space="preserve"> oneself, these goods of agency must be effectively—even if only implicitly—chosen for others as well as for oneself.  </w:t>
      </w:r>
    </w:p>
    <w:p w14:paraId="7488A138"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Insofar as the goods </w:t>
      </w:r>
      <w:r>
        <w:rPr>
          <w:rFonts w:ascii="Times New Roman" w:eastAsia="Times New Roman" w:hAnsi="Times New Roman" w:cs="Times New Roman"/>
          <w:i/>
          <w:iCs/>
          <w:color w:val="000000"/>
          <w:sz w:val="22"/>
          <w:szCs w:val="22"/>
        </w:rPr>
        <w:t>of</w:t>
      </w:r>
      <w:r>
        <w:rPr>
          <w:rFonts w:ascii="Times New Roman" w:eastAsia="Times New Roman" w:hAnsi="Times New Roman" w:cs="Times New Roman"/>
          <w:color w:val="000000"/>
          <w:sz w:val="22"/>
          <w:szCs w:val="22"/>
        </w:rPr>
        <w:t xml:space="preserve"> agency are realized in an agent’s making moral sense of the world as she straightforwardly and virtuously pursues what is good </w:t>
      </w:r>
      <w:r>
        <w:rPr>
          <w:rFonts w:ascii="Times New Roman" w:eastAsia="Times New Roman" w:hAnsi="Times New Roman" w:cs="Times New Roman"/>
          <w:i/>
          <w:iCs/>
          <w:color w:val="000000"/>
          <w:sz w:val="22"/>
          <w:szCs w:val="22"/>
        </w:rPr>
        <w:t xml:space="preserve">for </w:t>
      </w:r>
      <w:r>
        <w:rPr>
          <w:rFonts w:ascii="Times New Roman" w:eastAsia="Times New Roman" w:hAnsi="Times New Roman" w:cs="Times New Roman"/>
          <w:color w:val="000000"/>
          <w:sz w:val="22"/>
          <w:szCs w:val="22"/>
        </w:rPr>
        <w:t xml:space="preserve">herself and others, we might also think of these goods of agency as second-order goods that are both (a) </w:t>
      </w:r>
      <w:r>
        <w:rPr>
          <w:rFonts w:ascii="Times New Roman" w:eastAsia="Times New Roman" w:hAnsi="Times New Roman" w:cs="Times New Roman"/>
          <w:i/>
          <w:iCs/>
          <w:color w:val="000000"/>
          <w:sz w:val="22"/>
          <w:szCs w:val="22"/>
        </w:rPr>
        <w:t>necessary</w:t>
      </w:r>
      <w:r>
        <w:rPr>
          <w:rFonts w:ascii="Times New Roman" w:eastAsia="Times New Roman" w:hAnsi="Times New Roman" w:cs="Times New Roman"/>
          <w:color w:val="000000"/>
          <w:sz w:val="22"/>
          <w:szCs w:val="22"/>
        </w:rPr>
        <w:t xml:space="preserve"> conditions for the possibility of virtuously pursuing first-order goods for oneself and others in our everyday activities and (b) </w:t>
      </w:r>
      <w:proofErr w:type="spellStart"/>
      <w:r>
        <w:rPr>
          <w:rFonts w:ascii="Times New Roman" w:eastAsia="Times New Roman" w:hAnsi="Times New Roman" w:cs="Times New Roman"/>
          <w:color w:val="000000"/>
          <w:sz w:val="22"/>
          <w:szCs w:val="22"/>
        </w:rPr>
        <w:t>superveniently</w:t>
      </w:r>
      <w:proofErr w:type="spellEnd"/>
      <w:r>
        <w:rPr>
          <w:rFonts w:ascii="Times New Roman" w:eastAsia="Times New Roman" w:hAnsi="Times New Roman" w:cs="Times New Roman"/>
          <w:color w:val="000000"/>
          <w:sz w:val="22"/>
          <w:szCs w:val="22"/>
        </w:rPr>
        <w:t xml:space="preserve"> realized in those pursuits.  Consequently, there is a class of goods—the goods </w:t>
      </w:r>
      <w:r>
        <w:rPr>
          <w:rFonts w:ascii="Times New Roman" w:eastAsia="Times New Roman" w:hAnsi="Times New Roman" w:cs="Times New Roman"/>
          <w:i/>
          <w:iCs/>
          <w:color w:val="000000"/>
          <w:sz w:val="22"/>
          <w:szCs w:val="22"/>
        </w:rPr>
        <w:t xml:space="preserve">of </w:t>
      </w:r>
      <w:r>
        <w:rPr>
          <w:rFonts w:ascii="Times New Roman" w:eastAsia="Times New Roman" w:hAnsi="Times New Roman" w:cs="Times New Roman"/>
          <w:color w:val="000000"/>
          <w:sz w:val="22"/>
          <w:szCs w:val="22"/>
        </w:rPr>
        <w:t xml:space="preserve">agency organized around the notion of thinking, feeling, and willing correctly—as well as a set of behaviors and practices ordered to the realization of these goods that are necessarily, albeit implicitly, chosen by the virtuous agent insofar as that agent pursues any goods at all.  This entails some special cases of preferring, </w:t>
      </w:r>
      <w:proofErr w:type="gramStart"/>
      <w:r>
        <w:rPr>
          <w:rFonts w:ascii="Times New Roman" w:eastAsia="Times New Roman" w:hAnsi="Times New Roman" w:cs="Times New Roman"/>
          <w:color w:val="000000"/>
          <w:sz w:val="22"/>
          <w:szCs w:val="22"/>
        </w:rPr>
        <w:t>wherein</w:t>
      </w:r>
      <w:proofErr w:type="gramEnd"/>
      <w:r>
        <w:rPr>
          <w:rFonts w:ascii="Times New Roman" w:eastAsia="Times New Roman" w:hAnsi="Times New Roman" w:cs="Times New Roman"/>
          <w:color w:val="000000"/>
          <w:sz w:val="22"/>
          <w:szCs w:val="22"/>
        </w:rPr>
        <w:t xml:space="preserve"> </w:t>
      </w:r>
    </w:p>
    <w:p w14:paraId="389DE452"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(5)</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S</w:t>
      </w:r>
      <w:r>
        <w:rPr>
          <w:rFonts w:ascii="Times New Roman" w:eastAsia="Times New Roman" w:hAnsi="Times New Roman" w:cs="Times New Roman"/>
          <w:color w:val="000000"/>
          <w:sz w:val="22"/>
          <w:szCs w:val="22"/>
        </w:rPr>
        <w:t xml:space="preserve"> prefers </w:t>
      </w:r>
      <w:r>
        <w:rPr>
          <w:rFonts w:ascii="Times New Roman" w:eastAsia="Times New Roman" w:hAnsi="Times New Roman" w:cs="Times New Roman"/>
          <w:i/>
          <w:iCs/>
          <w:color w:val="000000"/>
          <w:sz w:val="22"/>
          <w:szCs w:val="22"/>
        </w:rPr>
        <w:t>T</w:t>
      </w:r>
      <w:r>
        <w:rPr>
          <w:rFonts w:ascii="Times New Roman" w:eastAsia="Times New Roman" w:hAnsi="Times New Roman" w:cs="Times New Roman"/>
          <w:color w:val="000000"/>
          <w:sz w:val="22"/>
          <w:szCs w:val="22"/>
        </w:rPr>
        <w:t xml:space="preserve"> (a second-order good of agency) as necessarily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over against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(a first-order good for </w:t>
      </w:r>
      <w:r>
        <w:rPr>
          <w:rFonts w:ascii="Times New Roman" w:eastAsia="Times New Roman" w:hAnsi="Times New Roman" w:cs="Times New Roman"/>
          <w:color w:val="000000"/>
          <w:sz w:val="22"/>
          <w:szCs w:val="22"/>
        </w:rPr>
        <w:lastRenderedPageBreak/>
        <w:t xml:space="preserve">the agent) as contingently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w:t>
      </w:r>
    </w:p>
    <w:p w14:paraId="1C4CE4C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hint="eastAsia"/>
        </w:rPr>
      </w:pPr>
      <w:r>
        <w:rPr>
          <w:rFonts w:ascii="Times New Roman" w:eastAsia="Times New Roman" w:hAnsi="Times New Roman" w:cs="Times New Roman"/>
          <w:color w:val="000000"/>
          <w:sz w:val="22"/>
          <w:szCs w:val="22"/>
        </w:rPr>
        <w:t xml:space="preserve">Moreover, the recognition of these goods of agency as necessarily willed by the good agent transforms our understanding of the goods for an agent and of rightly ordered volition.  The first-order goods for agents and patients are now apprehended as necessarily transformed by and yielding to the second-order goods of agency.  For example, in exercising honesty and kindness toward a friend who is about to make a seriously flawed decision that might cost her </w:t>
      </w:r>
      <w:proofErr w:type="spellStart"/>
      <w:r>
        <w:rPr>
          <w:rFonts w:ascii="Times New Roman" w:eastAsia="Times New Roman" w:hAnsi="Times New Roman" w:cs="Times New Roman"/>
          <w:color w:val="000000"/>
          <w:sz w:val="22"/>
          <w:szCs w:val="22"/>
        </w:rPr>
        <w:t>her</w:t>
      </w:r>
      <w:proofErr w:type="spellEnd"/>
      <w:r>
        <w:rPr>
          <w:rFonts w:ascii="Times New Roman" w:eastAsia="Times New Roman" w:hAnsi="Times New Roman" w:cs="Times New Roman"/>
          <w:color w:val="000000"/>
          <w:sz w:val="22"/>
          <w:szCs w:val="22"/>
        </w:rPr>
        <w:t xml:space="preserve"> job, one might be honestly abrupt with one’s friend in order, as it were, to save her from herself.  But one might also offer advice in a bullying way so that one’s friend begins to feel coerced in her decision.  The effect of one’s bullying honesty, no less honest because bullying, would be to limit the friend’s autonomy to decide for herself about the best course of action and thereby close off the possibility for her realization of self-responsibility.  This would be to place both a good for the agent (one’s own honesty) and the good for the other (the friend’s keeping her job) ahead of the other’s good of agency (autonomy, i.e., </w:t>
      </w:r>
      <w:proofErr w:type="gramStart"/>
      <w:r>
        <w:rPr>
          <w:rFonts w:ascii="Times New Roman" w:eastAsia="Times New Roman" w:hAnsi="Times New Roman" w:cs="Times New Roman"/>
          <w:color w:val="000000"/>
          <w:sz w:val="22"/>
          <w:szCs w:val="22"/>
        </w:rPr>
        <w:t>authentically</w:t>
      </w:r>
      <w:proofErr w:type="gramEnd"/>
      <w:r>
        <w:rPr>
          <w:rFonts w:ascii="Times New Roman" w:eastAsia="Times New Roman" w:hAnsi="Times New Roman" w:cs="Times New Roman"/>
          <w:color w:val="000000"/>
          <w:sz w:val="22"/>
          <w:szCs w:val="22"/>
        </w:rPr>
        <w:t xml:space="preserve"> or self-responsibly deciding for herself).  Recognizing the necessity, however, of the goods of agency for the pursuit of goods for both the agent and the patients of the agent’s activities, one’s sense of honesty is refined to the point that one recognizes that honesty with a friend cannot truly be thought of in such a way that it would permit denying one’s friend the autonomy to make up her own mind and to choose for herself and that genuinely brutal honesty is honesty in name only.  Similarly, in the case of rudeness mentioned earlier, the shouting is seen not merely as violating what achieves the ends of conversation but as also intimidating and belittling the employee.  The shouting is deemed wrong both because it fails to conduce to the ends of conversation and because it fails to respect the employee who, as a fellow moral subject and along with me and others, makes moral sense of our shared world.  </w:t>
      </w:r>
    </w:p>
    <w:p w14:paraId="4CF04DC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Stipulating, then, that </w:t>
      </w:r>
    </w:p>
    <w:p w14:paraId="39E39AD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(d)</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V</w:t>
      </w:r>
      <w:r>
        <w:rPr>
          <w:rFonts w:ascii="Times New Roman" w:eastAsia="Times New Roman" w:hAnsi="Times New Roman" w:cs="Times New Roman"/>
          <w:color w:val="000000"/>
          <w:sz w:val="22"/>
          <w:szCs w:val="22"/>
        </w:rPr>
        <w:t xml:space="preserve"> is an effective volition that issues in action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as conducive to end </w:t>
      </w:r>
      <w:r>
        <w:rPr>
          <w:rFonts w:ascii="Times New Roman" w:eastAsia="Times New Roman" w:hAnsi="Times New Roman" w:cs="Times New Roman"/>
          <w:i/>
          <w:iCs/>
          <w:color w:val="000000"/>
          <w:sz w:val="22"/>
          <w:szCs w:val="22"/>
        </w:rPr>
        <w:t xml:space="preserve">G </w:t>
      </w:r>
      <w:r>
        <w:rPr>
          <w:rFonts w:ascii="Times New Roman" w:eastAsia="Times New Roman" w:hAnsi="Times New Roman" w:cs="Times New Roman"/>
          <w:color w:val="000000"/>
          <w:sz w:val="22"/>
          <w:szCs w:val="22"/>
        </w:rPr>
        <w:t xml:space="preserve">and whose base is </w:t>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’s evaluation of </w:t>
      </w:r>
      <w:proofErr w:type="spellStart"/>
      <w:r>
        <w:rPr>
          <w:rFonts w:ascii="Times New Roman" w:eastAsia="Times New Roman" w:hAnsi="Times New Roman" w:cs="Times New Roman"/>
          <w:i/>
          <w:iCs/>
          <w:color w:val="000000"/>
          <w:sz w:val="22"/>
          <w:szCs w:val="22"/>
        </w:rPr>
        <w:t xml:space="preserve">G </w:t>
      </w:r>
      <w:r>
        <w:rPr>
          <w:rFonts w:ascii="Times New Roman" w:eastAsia="Times New Roman" w:hAnsi="Times New Roman" w:cs="Times New Roman"/>
          <w:color w:val="000000"/>
          <w:sz w:val="22"/>
          <w:szCs w:val="22"/>
        </w:rPr>
        <w:t>as</w:t>
      </w:r>
      <w:proofErr w:type="spellEnd"/>
      <w:r>
        <w:rPr>
          <w:rFonts w:ascii="Times New Roman" w:eastAsia="Times New Roman" w:hAnsi="Times New Roman" w:cs="Times New Roman"/>
          <w:color w:val="000000"/>
          <w:sz w:val="22"/>
          <w:szCs w:val="22"/>
        </w:rPr>
        <w:t xml:space="preserve"> a good end, </w:t>
      </w:r>
    </w:p>
    <w:p w14:paraId="6BB7E6A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we can say:</w:t>
      </w:r>
    </w:p>
    <w:p w14:paraId="09183F28"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spacing w:line="480" w:lineRule="auto"/>
        <w:ind w:left="360"/>
        <w:rPr>
          <w:rFonts w:hint="eastAsia"/>
        </w:rPr>
      </w:pPr>
      <w:r>
        <w:rPr>
          <w:rFonts w:ascii="Times New Roman" w:eastAsia="Times New Roman" w:hAnsi="Times New Roman" w:cs="Times New Roman"/>
          <w:color w:val="000000"/>
          <w:sz w:val="22"/>
          <w:szCs w:val="22"/>
        </w:rPr>
        <w:t>(e)</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 xml:space="preserve">V </w:t>
      </w:r>
      <w:r>
        <w:rPr>
          <w:rFonts w:ascii="Times New Roman" w:eastAsia="Times New Roman" w:hAnsi="Times New Roman" w:cs="Times New Roman"/>
          <w:color w:val="000000"/>
          <w:sz w:val="22"/>
          <w:szCs w:val="22"/>
        </w:rPr>
        <w:t xml:space="preserve">is rationally </w:t>
      </w:r>
      <w:proofErr w:type="gramStart"/>
      <w:r>
        <w:rPr>
          <w:rFonts w:ascii="Times New Roman" w:eastAsia="Times New Roman" w:hAnsi="Times New Roman" w:cs="Times New Roman"/>
          <w:color w:val="000000"/>
          <w:sz w:val="22"/>
          <w:szCs w:val="22"/>
        </w:rPr>
        <w:t>justified</w:t>
      </w:r>
      <w:proofErr w:type="gramEnd"/>
      <w:r>
        <w:rPr>
          <w:rFonts w:ascii="Times New Roman" w:eastAsia="Times New Roman" w:hAnsi="Times New Roman" w:cs="Times New Roman"/>
          <w:color w:val="000000"/>
          <w:sz w:val="22"/>
          <w:szCs w:val="22"/>
        </w:rPr>
        <w:t xml:space="preserve"> and </w:t>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is right if and only if</w:t>
      </w:r>
    </w:p>
    <w:p w14:paraId="023B94B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lastRenderedPageBreak/>
        <w:tab/>
        <w:t>(</w:t>
      </w:r>
      <w:proofErr w:type="spellStart"/>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 is appropriate;</w:t>
      </w:r>
    </w:p>
    <w:p w14:paraId="42C4BFEA"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(ii)</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E</w:t>
      </w:r>
      <w:r>
        <w:rPr>
          <w:rFonts w:ascii="Times New Roman" w:eastAsia="Times New Roman" w:hAnsi="Times New Roman" w:cs="Times New Roman"/>
          <w:color w:val="000000"/>
          <w:sz w:val="22"/>
          <w:szCs w:val="22"/>
        </w:rPr>
        <w:t xml:space="preserve"> is a reason for or rationally motivates a desire for </w:t>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w:t>
      </w:r>
    </w:p>
    <w:p w14:paraId="11035DE3"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(iii)</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G</w:t>
      </w:r>
      <w:r>
        <w:rPr>
          <w:rFonts w:ascii="Times New Roman" w:eastAsia="Times New Roman" w:hAnsi="Times New Roman" w:cs="Times New Roman"/>
          <w:color w:val="000000"/>
          <w:sz w:val="22"/>
          <w:szCs w:val="22"/>
        </w:rPr>
        <w:t xml:space="preserve"> is a reason for or rationally motivates </w:t>
      </w:r>
      <w:r>
        <w:rPr>
          <w:rFonts w:ascii="Times New Roman" w:eastAsia="Times New Roman" w:hAnsi="Times New Roman" w:cs="Times New Roman"/>
          <w:i/>
          <w:iCs/>
          <w:color w:val="000000"/>
          <w:sz w:val="22"/>
          <w:szCs w:val="22"/>
        </w:rPr>
        <w:t>V</w:t>
      </w:r>
      <w:r>
        <w:rPr>
          <w:rFonts w:ascii="Times New Roman" w:eastAsia="Times New Roman" w:hAnsi="Times New Roman" w:cs="Times New Roman"/>
          <w:color w:val="000000"/>
          <w:sz w:val="22"/>
          <w:szCs w:val="22"/>
        </w:rPr>
        <w:t>;</w:t>
      </w:r>
    </w:p>
    <w:p w14:paraId="49358AD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(iv)</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conduces to </w:t>
      </w:r>
      <w:r>
        <w:rPr>
          <w:rFonts w:ascii="Times New Roman" w:eastAsia="Times New Roman" w:hAnsi="Times New Roman" w:cs="Times New Roman"/>
          <w:i/>
          <w:iCs/>
          <w:color w:val="000000"/>
          <w:sz w:val="22"/>
          <w:szCs w:val="22"/>
        </w:rPr>
        <w:t xml:space="preserve">G </w:t>
      </w:r>
      <w:r>
        <w:rPr>
          <w:rFonts w:ascii="Times New Roman" w:eastAsia="Times New Roman" w:hAnsi="Times New Roman" w:cs="Times New Roman"/>
          <w:color w:val="000000"/>
          <w:sz w:val="22"/>
          <w:szCs w:val="22"/>
        </w:rPr>
        <w:t xml:space="preserve">as an internal or external consequence; </w:t>
      </w:r>
    </w:p>
    <w:p w14:paraId="261BDE27"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hint="eastAsia"/>
        </w:rPr>
      </w:pPr>
      <w:r>
        <w:rPr>
          <w:rFonts w:ascii="Times New Roman" w:eastAsia="Times New Roman" w:hAnsi="Times New Roman" w:cs="Times New Roman"/>
          <w:color w:val="000000"/>
          <w:sz w:val="22"/>
          <w:szCs w:val="22"/>
        </w:rPr>
        <w:tab/>
        <w:t>(v)</w:t>
      </w:r>
      <w:r>
        <w:rPr>
          <w:rFonts w:ascii="Times New Roman" w:eastAsia="Times New Roman" w:hAnsi="Times New Roman" w:cs="Times New Roman"/>
          <w:color w:val="000000"/>
          <w:sz w:val="22"/>
          <w:szCs w:val="22"/>
        </w:rPr>
        <w:tab/>
      </w:r>
      <w:r>
        <w:rPr>
          <w:rFonts w:ascii="Times New Roman" w:eastAsia="Times New Roman" w:hAnsi="Times New Roman" w:cs="Times New Roman"/>
          <w:i/>
          <w:iCs/>
          <w:color w:val="000000"/>
          <w:sz w:val="22"/>
          <w:szCs w:val="22"/>
        </w:rPr>
        <w:t>A</w:t>
      </w:r>
      <w:r>
        <w:rPr>
          <w:rFonts w:ascii="Times New Roman" w:eastAsia="Times New Roman" w:hAnsi="Times New Roman" w:cs="Times New Roman"/>
          <w:color w:val="000000"/>
          <w:sz w:val="22"/>
          <w:szCs w:val="22"/>
        </w:rPr>
        <w:t xml:space="preserve"> does not frustrate (or frustrates least) the realization of necessarily valued second-order goods of agency; and </w:t>
      </w:r>
    </w:p>
    <w:p w14:paraId="162650AB"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(vi)</w:t>
      </w:r>
      <w:r>
        <w:rPr>
          <w:rFonts w:ascii="Times New Roman" w:eastAsia="Times New Roman" w:hAnsi="Times New Roman" w:cs="Times New Roman"/>
          <w:color w:val="000000"/>
          <w:sz w:val="22"/>
          <w:szCs w:val="22"/>
        </w:rPr>
        <w:tab/>
        <w:t>no relation of justification entailed is defeated.</w:t>
      </w:r>
    </w:p>
    <w:p w14:paraId="56F16312"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Phenomenological descriptions reveal important truths about essential features of the transcendental dimension of the human.  In this respect, the phenomenological approach goes beyond an Aristotelian naturalism to acknowledge the transcendental dimension of the human as an agent that makes moral sense of the world and whose “making sense” is teleologically ordered toward truth in its cognitive, axiological, and practical guises.  This provides the basis for specifying a non-consequentialist meaning of “eudaimonia” as realizing the second-order goods </w:t>
      </w:r>
      <w:r>
        <w:rPr>
          <w:rFonts w:ascii="Times New Roman" w:eastAsia="Times New Roman" w:hAnsi="Times New Roman" w:cs="Times New Roman"/>
          <w:i/>
          <w:iCs/>
          <w:color w:val="000000"/>
          <w:sz w:val="22"/>
          <w:szCs w:val="22"/>
        </w:rPr>
        <w:t xml:space="preserve">of </w:t>
      </w:r>
      <w:r>
        <w:rPr>
          <w:rFonts w:ascii="Times New Roman" w:eastAsia="Times New Roman" w:hAnsi="Times New Roman" w:cs="Times New Roman"/>
          <w:color w:val="000000"/>
          <w:sz w:val="22"/>
          <w:szCs w:val="22"/>
        </w:rPr>
        <w:t xml:space="preserve">agency.  This notion of “eudaimonia” is consistent with differing accounts of first-order goods </w:t>
      </w:r>
      <w:r>
        <w:rPr>
          <w:rFonts w:ascii="Times New Roman" w:eastAsia="Times New Roman" w:hAnsi="Times New Roman" w:cs="Times New Roman"/>
          <w:i/>
          <w:iCs/>
          <w:color w:val="000000"/>
          <w:sz w:val="22"/>
          <w:szCs w:val="22"/>
        </w:rPr>
        <w:t xml:space="preserve">for </w:t>
      </w:r>
      <w:r>
        <w:rPr>
          <w:rFonts w:ascii="Times New Roman" w:eastAsia="Times New Roman" w:hAnsi="Times New Roman" w:cs="Times New Roman"/>
          <w:color w:val="000000"/>
          <w:sz w:val="22"/>
          <w:szCs w:val="22"/>
        </w:rPr>
        <w:t xml:space="preserve">agents (and their patients) and of the virtues appropriate for realizing them—the habituated dispositions to feel appropriately and to act rightly in realizing first-order goods and </w:t>
      </w:r>
      <w:proofErr w:type="spellStart"/>
      <w:r>
        <w:rPr>
          <w:rFonts w:ascii="Times New Roman" w:eastAsia="Times New Roman" w:hAnsi="Times New Roman" w:cs="Times New Roman"/>
          <w:color w:val="000000"/>
          <w:sz w:val="22"/>
          <w:szCs w:val="22"/>
        </w:rPr>
        <w:t>superveniently</w:t>
      </w:r>
      <w:proofErr w:type="spellEnd"/>
      <w:r>
        <w:rPr>
          <w:rFonts w:ascii="Times New Roman" w:eastAsia="Times New Roman" w:hAnsi="Times New Roman" w:cs="Times New Roman"/>
          <w:color w:val="000000"/>
          <w:sz w:val="22"/>
          <w:szCs w:val="22"/>
        </w:rPr>
        <w:t xml:space="preserve"> realizing second-order goods.  </w:t>
      </w:r>
    </w:p>
    <w:p w14:paraId="0572972A"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appeal to the second-order goods of agency—insofar as they are necessary conditions for the virtuous pursuit of first-order goods and necessarily intersubjective—grounds both Aristotle’s claim that some actions are always and inherently wrong and Kant’s claim that we should not make an exception in our own case.  Our sense of being obligated by certain goods—whether first-order goods, like the goods realized in the pursuit of a vocation, or second-order goods, like the other’s autonomy in thinking, feeling, and willing—arises in weighing competing goods realizable </w:t>
      </w:r>
      <w:proofErr w:type="gramStart"/>
      <w:r>
        <w:rPr>
          <w:rFonts w:ascii="Times New Roman" w:eastAsia="Times New Roman" w:hAnsi="Times New Roman" w:cs="Times New Roman"/>
          <w:color w:val="000000"/>
          <w:sz w:val="22"/>
          <w:szCs w:val="22"/>
        </w:rPr>
        <w:t>in the situation in which</w:t>
      </w:r>
      <w:proofErr w:type="gramEnd"/>
      <w:r>
        <w:rPr>
          <w:rFonts w:ascii="Times New Roman" w:eastAsia="Times New Roman" w:hAnsi="Times New Roman" w:cs="Times New Roman"/>
          <w:color w:val="000000"/>
          <w:sz w:val="22"/>
          <w:szCs w:val="22"/>
        </w:rPr>
        <w:t xml:space="preserve"> we are called upon to act or in weighing a good against a merely apparent good.  The competition arises precisely to the extent that we are faced with competing desires and must choose in favor of the true good or higher good in a way that forces us to override certain desires we have for merely apparent or lower goods.</w:t>
      </w:r>
    </w:p>
    <w:p w14:paraId="181DCFC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hint="eastAsia"/>
        </w:rPr>
      </w:pPr>
      <w:r>
        <w:rPr>
          <w:rFonts w:ascii="Times New Roman" w:eastAsia="Times New Roman" w:hAnsi="Times New Roman" w:cs="Times New Roman"/>
          <w:color w:val="000000"/>
          <w:sz w:val="22"/>
          <w:szCs w:val="22"/>
        </w:rPr>
        <w:t xml:space="preserve">A phenomenological approach to moral experience rooted in the description of the material </w:t>
      </w:r>
      <w:r>
        <w:rPr>
          <w:rFonts w:ascii="Times New Roman" w:eastAsia="Times New Roman" w:hAnsi="Times New Roman" w:cs="Times New Roman"/>
          <w:color w:val="000000"/>
          <w:sz w:val="22"/>
          <w:szCs w:val="22"/>
        </w:rPr>
        <w:lastRenderedPageBreak/>
        <w:t xml:space="preserve">dimensions of evaluative and volitional experiences yields, therefore, a view compatible with neo-Aristotelian approaches at both the meta-ethical and normative levels.  First, we see repeated in this axiological approach the Aristotelian meta-ethical views that the emotions have cognitive content, that they pick out what is morally salient in a situation, and that the moral agent develops habits of thinking, feeling, and acting, i.e., dispositions to have the right attitudes and to act rightly.  Second, the axiology sketched here affirms the Aristotelian normative view that there is a teleology—a </w:t>
      </w:r>
      <w:r>
        <w:rPr>
          <w:rFonts w:ascii="Times New Roman" w:eastAsia="Times New Roman" w:hAnsi="Times New Roman" w:cs="Times New Roman"/>
          <w:i/>
          <w:iCs/>
          <w:color w:val="000000"/>
          <w:sz w:val="22"/>
          <w:szCs w:val="22"/>
        </w:rPr>
        <w:t>eudaimonia</w:t>
      </w:r>
      <w:r>
        <w:rPr>
          <w:rFonts w:ascii="Times New Roman" w:eastAsia="Times New Roman" w:hAnsi="Times New Roman" w:cs="Times New Roman"/>
          <w:color w:val="000000"/>
          <w:sz w:val="22"/>
          <w:szCs w:val="22"/>
        </w:rPr>
        <w:t xml:space="preserve"> or flourishing—proper to reason: the teleology of thinking truly, feeling appropriately, and acting rightly.  Third, this view focuses our fundamental moral judgment on the self-responsibility of the agent in determining for herself the truth of her beliefs, the appropriateness of her attitudes, the correctness of her deliberations, and the rightness of her actions.  The fundamental normative judgment pertains to the character of agents rather than the rightness or wrongness of a particular action, and it is in terms of this overriding good of agency that we can best think about the virtues appropriate for the flourishing human life.</w:t>
      </w:r>
    </w:p>
    <w:p w14:paraId="4AB8842B" w14:textId="77777777" w:rsidR="00010990" w:rsidRDefault="0001099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23B34A07"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0"/>
          <w:szCs w:val="20"/>
        </w:rPr>
      </w:pPr>
      <w:r>
        <w:rPr>
          <w:rFonts w:ascii="Times New Roman" w:eastAsia="Times New Roman" w:hAnsi="Times New Roman" w:cs="Times New Roman"/>
          <w:smallCaps/>
          <w:color w:val="000000"/>
          <w:sz w:val="20"/>
          <w:szCs w:val="20"/>
        </w:rPr>
        <w:t>Notes</w:t>
      </w:r>
    </w:p>
    <w:p w14:paraId="302BB14E" w14:textId="77777777" w:rsidR="00010990" w:rsidRDefault="0001099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173DD11C" w14:textId="77777777" w:rsidR="00010990" w:rsidRDefault="0001099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sz w:val="22"/>
          <w:szCs w:val="22"/>
        </w:rPr>
      </w:pPr>
    </w:p>
    <w:p w14:paraId="398BD57F"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jc w:val="center"/>
        <w:rPr>
          <w:rFonts w:ascii="Times New Roman" w:eastAsia="Times New Roman" w:hAnsi="Times New Roman" w:cs="Times New Roman"/>
          <w:smallCaps/>
          <w:color w:val="000000"/>
          <w:sz w:val="20"/>
          <w:szCs w:val="20"/>
        </w:rPr>
      </w:pPr>
      <w:r>
        <w:rPr>
          <w:rFonts w:ascii="Times New Roman" w:eastAsia="Times New Roman" w:hAnsi="Times New Roman" w:cs="Times New Roman"/>
          <w:smallCaps/>
          <w:color w:val="000000"/>
          <w:sz w:val="20"/>
          <w:szCs w:val="20"/>
        </w:rPr>
        <w:t>References</w:t>
      </w:r>
    </w:p>
    <w:p w14:paraId="448A3710"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Anscombe, Elizabeth.  [1958] 1997.  Modern moral philosophy.  In </w:t>
      </w:r>
      <w:r>
        <w:rPr>
          <w:rFonts w:ascii="Times New Roman" w:eastAsia="Times New Roman" w:hAnsi="Times New Roman" w:cs="Times New Roman"/>
          <w:i/>
          <w:iCs/>
          <w:color w:val="000000"/>
          <w:sz w:val="20"/>
          <w:szCs w:val="20"/>
        </w:rPr>
        <w:t>Virtue Ethics</w:t>
      </w:r>
      <w:r>
        <w:rPr>
          <w:rFonts w:ascii="Times New Roman" w:eastAsia="Times New Roman" w:hAnsi="Times New Roman" w:cs="Times New Roman"/>
          <w:color w:val="000000"/>
          <w:sz w:val="20"/>
          <w:szCs w:val="20"/>
        </w:rPr>
        <w:t xml:space="preserve">, ed.  R.  Crisp and M.  </w:t>
      </w:r>
      <w:proofErr w:type="spellStart"/>
      <w:r>
        <w:rPr>
          <w:rFonts w:ascii="Times New Roman" w:eastAsia="Times New Roman" w:hAnsi="Times New Roman" w:cs="Times New Roman"/>
          <w:color w:val="000000"/>
          <w:sz w:val="20"/>
          <w:szCs w:val="20"/>
        </w:rPr>
        <w:t>Slote</w:t>
      </w:r>
      <w:proofErr w:type="spellEnd"/>
      <w:r>
        <w:rPr>
          <w:rFonts w:ascii="Times New Roman" w:eastAsia="Times New Roman" w:hAnsi="Times New Roman" w:cs="Times New Roman"/>
          <w:color w:val="000000"/>
          <w:sz w:val="20"/>
          <w:szCs w:val="20"/>
        </w:rPr>
        <w:t>, 26–44.  New York: Oxford.</w:t>
      </w:r>
    </w:p>
    <w:p w14:paraId="056F370F"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Arroyo, Christopher.  2007.  Kant and Husserl on Moral Obligation and Emotions.  Ph.D.  diss., Fordham University.</w:t>
      </w:r>
    </w:p>
    <w:p w14:paraId="169FF08D"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Brentano, Franz.  1889.  </w:t>
      </w:r>
      <w:proofErr w:type="spellStart"/>
      <w:r>
        <w:rPr>
          <w:rFonts w:ascii="Times New Roman" w:eastAsia="Times New Roman" w:hAnsi="Times New Roman" w:cs="Times New Roman"/>
          <w:i/>
          <w:iCs/>
          <w:color w:val="000000"/>
          <w:sz w:val="20"/>
          <w:szCs w:val="20"/>
        </w:rPr>
        <w:t>Vom</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Ursprung</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sittlicher</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Erkenntnis</w:t>
      </w:r>
      <w:proofErr w:type="spellEnd"/>
      <w:r>
        <w:rPr>
          <w:rFonts w:ascii="Times New Roman" w:eastAsia="Times New Roman" w:hAnsi="Times New Roman" w:cs="Times New Roman"/>
          <w:color w:val="000000"/>
          <w:sz w:val="20"/>
          <w:szCs w:val="20"/>
        </w:rPr>
        <w:t xml:space="preserve">.  Leipzig: Duncker &amp; </w:t>
      </w:r>
      <w:proofErr w:type="spellStart"/>
      <w:r>
        <w:rPr>
          <w:rFonts w:ascii="Times New Roman" w:eastAsia="Times New Roman" w:hAnsi="Times New Roman" w:cs="Times New Roman"/>
          <w:color w:val="000000"/>
          <w:sz w:val="20"/>
          <w:szCs w:val="20"/>
        </w:rPr>
        <w:t>Humblot</w:t>
      </w:r>
      <w:proofErr w:type="spellEnd"/>
      <w:r>
        <w:rPr>
          <w:rFonts w:ascii="Times New Roman" w:eastAsia="Times New Roman" w:hAnsi="Times New Roman" w:cs="Times New Roman"/>
          <w:color w:val="000000"/>
          <w:sz w:val="20"/>
          <w:szCs w:val="20"/>
        </w:rPr>
        <w:t>.</w:t>
      </w:r>
    </w:p>
    <w:p w14:paraId="10DC0A3F"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[1889] 1902.  </w:t>
      </w:r>
      <w:r>
        <w:rPr>
          <w:rFonts w:ascii="Times New Roman" w:eastAsia="Times New Roman" w:hAnsi="Times New Roman" w:cs="Times New Roman"/>
          <w:i/>
          <w:iCs/>
          <w:color w:val="000000"/>
          <w:sz w:val="20"/>
          <w:szCs w:val="20"/>
        </w:rPr>
        <w:t>The Origin of the Knowledge of Right and Wrong</w:t>
      </w:r>
      <w:r>
        <w:rPr>
          <w:rFonts w:ascii="Times New Roman" w:eastAsia="Times New Roman" w:hAnsi="Times New Roman" w:cs="Times New Roman"/>
          <w:color w:val="000000"/>
          <w:sz w:val="20"/>
          <w:szCs w:val="20"/>
        </w:rPr>
        <w:t>.  Trans.  C.  Hague.  Westminster: A Constable and Co., Ltd.</w:t>
      </w:r>
    </w:p>
    <w:p w14:paraId="6481CF2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Driver, Julia.  2001.  </w:t>
      </w:r>
      <w:r>
        <w:rPr>
          <w:rFonts w:ascii="Times New Roman" w:eastAsia="Times New Roman" w:hAnsi="Times New Roman" w:cs="Times New Roman"/>
          <w:i/>
          <w:iCs/>
          <w:color w:val="000000"/>
          <w:sz w:val="20"/>
          <w:szCs w:val="20"/>
        </w:rPr>
        <w:t>Uneasy Virtue</w:t>
      </w:r>
      <w:r>
        <w:rPr>
          <w:rFonts w:ascii="Times New Roman" w:eastAsia="Times New Roman" w:hAnsi="Times New Roman" w:cs="Times New Roman"/>
          <w:color w:val="000000"/>
          <w:sz w:val="20"/>
          <w:szCs w:val="20"/>
        </w:rPr>
        <w:t>.  New York: Cambridge University Press.</w:t>
      </w:r>
    </w:p>
    <w:p w14:paraId="62F40053"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Drummond, John J.  1995.  Moral objectivity:  Husserl’s sentiments of the understanding.  </w:t>
      </w:r>
      <w:r>
        <w:rPr>
          <w:rFonts w:ascii="Times New Roman" w:eastAsia="Times New Roman" w:hAnsi="Times New Roman" w:cs="Times New Roman"/>
          <w:i/>
          <w:iCs/>
          <w:color w:val="000000"/>
          <w:sz w:val="20"/>
          <w:szCs w:val="20"/>
        </w:rPr>
        <w:t xml:space="preserve">Husserl Studies </w:t>
      </w:r>
      <w:r>
        <w:rPr>
          <w:rFonts w:ascii="Times New Roman" w:eastAsia="Times New Roman" w:hAnsi="Times New Roman" w:cs="Times New Roman"/>
          <w:color w:val="000000"/>
          <w:sz w:val="20"/>
          <w:szCs w:val="20"/>
        </w:rPr>
        <w:t>12: 165–183.</w:t>
      </w:r>
    </w:p>
    <w:p w14:paraId="45BD5A1A"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2002.  Aristotelianism and phenomenology.  In </w:t>
      </w:r>
      <w:r>
        <w:rPr>
          <w:rFonts w:ascii="Times New Roman" w:eastAsia="Times New Roman" w:hAnsi="Times New Roman" w:cs="Times New Roman"/>
          <w:i/>
          <w:iCs/>
          <w:color w:val="000000"/>
          <w:sz w:val="20"/>
          <w:szCs w:val="20"/>
        </w:rPr>
        <w:t>Phenomenological Approaches to Moral Philosophy</w:t>
      </w:r>
      <w:r>
        <w:rPr>
          <w:rFonts w:ascii="Times New Roman" w:eastAsia="Times New Roman" w:hAnsi="Times New Roman" w:cs="Times New Roman"/>
          <w:color w:val="000000"/>
          <w:sz w:val="20"/>
          <w:szCs w:val="20"/>
        </w:rPr>
        <w:t xml:space="preserve">, ed.  J. J.  Drummond and L.  </w:t>
      </w:r>
      <w:proofErr w:type="spellStart"/>
      <w:r>
        <w:rPr>
          <w:rFonts w:ascii="Times New Roman" w:eastAsia="Times New Roman" w:hAnsi="Times New Roman" w:cs="Times New Roman"/>
          <w:color w:val="000000"/>
          <w:sz w:val="20"/>
          <w:szCs w:val="20"/>
        </w:rPr>
        <w:t>Embree</w:t>
      </w:r>
      <w:proofErr w:type="spellEnd"/>
      <w:r>
        <w:rPr>
          <w:rFonts w:ascii="Times New Roman" w:eastAsia="Times New Roman" w:hAnsi="Times New Roman" w:cs="Times New Roman"/>
          <w:color w:val="000000"/>
          <w:sz w:val="20"/>
          <w:szCs w:val="20"/>
        </w:rPr>
        <w:t>, 15–45.  Dordrecht: Kluwer Academic Publishers.</w:t>
      </w:r>
    </w:p>
    <w:p w14:paraId="0C366B2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Foot, Philippa.  [1958].  Moral arguments.  </w:t>
      </w:r>
      <w:r>
        <w:rPr>
          <w:rFonts w:ascii="Times New Roman" w:eastAsia="Times New Roman" w:hAnsi="Times New Roman" w:cs="Times New Roman"/>
          <w:i/>
          <w:iCs/>
          <w:color w:val="000000"/>
          <w:sz w:val="20"/>
          <w:szCs w:val="20"/>
        </w:rPr>
        <w:t>Mind</w:t>
      </w:r>
      <w:r>
        <w:rPr>
          <w:rFonts w:ascii="Times New Roman" w:eastAsia="Times New Roman" w:hAnsi="Times New Roman" w:cs="Times New Roman"/>
          <w:color w:val="000000"/>
          <w:sz w:val="20"/>
          <w:szCs w:val="20"/>
        </w:rPr>
        <w:t xml:space="preserve"> 67.  Reprinted in Foot [1978b] 2002, 96–109.</w:t>
      </w:r>
    </w:p>
    <w:p w14:paraId="1EB919CC"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[1958–59].  Moral beliefs.  </w:t>
      </w:r>
      <w:r>
        <w:rPr>
          <w:rFonts w:ascii="Times New Roman" w:eastAsia="Times New Roman" w:hAnsi="Times New Roman" w:cs="Times New Roman"/>
          <w:i/>
          <w:iCs/>
          <w:color w:val="000000"/>
          <w:sz w:val="20"/>
          <w:szCs w:val="20"/>
        </w:rPr>
        <w:t>The Aristotelian Society Supplementary Volume 59</w:t>
      </w:r>
      <w:r>
        <w:rPr>
          <w:rFonts w:ascii="Times New Roman" w:eastAsia="Times New Roman" w:hAnsi="Times New Roman" w:cs="Times New Roman"/>
          <w:color w:val="000000"/>
          <w:sz w:val="20"/>
          <w:szCs w:val="20"/>
        </w:rPr>
        <w:t>.  Reprinted in Foot [1978b] 2002, 110–31.</w:t>
      </w:r>
    </w:p>
    <w:p w14:paraId="3E1F7928"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[1961].  Goodness and choice.  </w:t>
      </w:r>
      <w:r>
        <w:rPr>
          <w:rFonts w:ascii="Times New Roman" w:eastAsia="Times New Roman" w:hAnsi="Times New Roman" w:cs="Times New Roman"/>
          <w:i/>
          <w:iCs/>
          <w:color w:val="000000"/>
          <w:sz w:val="20"/>
          <w:szCs w:val="20"/>
        </w:rPr>
        <w:t>The Aristotelian Society Supplementary Volume 61</w:t>
      </w:r>
      <w:r>
        <w:rPr>
          <w:rFonts w:ascii="Times New Roman" w:eastAsia="Times New Roman" w:hAnsi="Times New Roman" w:cs="Times New Roman"/>
          <w:color w:val="000000"/>
          <w:sz w:val="20"/>
          <w:szCs w:val="20"/>
        </w:rPr>
        <w:t>.  Reprinted in Foot [1978b] 2002, 132–47</w:t>
      </w:r>
      <w:r>
        <w:rPr>
          <w:rFonts w:ascii="Times New Roman" w:eastAsia="Times New Roman" w:hAnsi="Times New Roman" w:cs="Times New Roman"/>
          <w:i/>
          <w:iCs/>
          <w:color w:val="000000"/>
          <w:sz w:val="20"/>
          <w:szCs w:val="20"/>
        </w:rPr>
        <w:t xml:space="preserve">.  </w:t>
      </w:r>
    </w:p>
    <w:p w14:paraId="5877C96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  1967.  </w:t>
      </w:r>
      <w:r>
        <w:rPr>
          <w:rFonts w:ascii="Times New Roman" w:eastAsia="Times New Roman" w:hAnsi="Times New Roman" w:cs="Times New Roman"/>
          <w:i/>
          <w:iCs/>
          <w:color w:val="000000"/>
          <w:sz w:val="20"/>
          <w:szCs w:val="20"/>
        </w:rPr>
        <w:t>Theories of Ethics</w:t>
      </w:r>
      <w:r>
        <w:rPr>
          <w:rFonts w:ascii="Times New Roman" w:eastAsia="Times New Roman" w:hAnsi="Times New Roman" w:cs="Times New Roman"/>
          <w:color w:val="000000"/>
          <w:sz w:val="20"/>
          <w:szCs w:val="20"/>
        </w:rPr>
        <w:t>.  Oxford: Oxford University Press.</w:t>
      </w:r>
    </w:p>
    <w:p w14:paraId="06762E0B"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[1978a], 2002.  Virtues and vices.  In Foot [1978b] 2002, 1–18.</w:t>
      </w:r>
    </w:p>
    <w:p w14:paraId="7ED1034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  [1978b] 2002.  </w:t>
      </w:r>
      <w:r>
        <w:rPr>
          <w:rFonts w:ascii="Times New Roman" w:eastAsia="Times New Roman" w:hAnsi="Times New Roman" w:cs="Times New Roman"/>
          <w:i/>
          <w:iCs/>
          <w:color w:val="000000"/>
          <w:sz w:val="20"/>
          <w:szCs w:val="20"/>
        </w:rPr>
        <w:t>Virtues and Vices and Other Essays in Moral Philosophy</w:t>
      </w:r>
      <w:r>
        <w:rPr>
          <w:rFonts w:ascii="Times New Roman" w:eastAsia="Times New Roman" w:hAnsi="Times New Roman" w:cs="Times New Roman"/>
          <w:color w:val="000000"/>
          <w:sz w:val="20"/>
          <w:szCs w:val="20"/>
        </w:rPr>
        <w:t>.  Oxford: Clarendon Press.</w:t>
      </w:r>
    </w:p>
    <w:p w14:paraId="3376DBB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proofErr w:type="spellStart"/>
      <w:r>
        <w:rPr>
          <w:rFonts w:ascii="Times New Roman" w:eastAsia="Times New Roman" w:hAnsi="Times New Roman" w:cs="Times New Roman"/>
          <w:color w:val="000000"/>
          <w:sz w:val="20"/>
          <w:szCs w:val="20"/>
        </w:rPr>
        <w:t>Geach</w:t>
      </w:r>
      <w:proofErr w:type="spellEnd"/>
      <w:r>
        <w:rPr>
          <w:rFonts w:ascii="Times New Roman" w:eastAsia="Times New Roman" w:hAnsi="Times New Roman" w:cs="Times New Roman"/>
          <w:color w:val="000000"/>
          <w:sz w:val="20"/>
          <w:szCs w:val="20"/>
        </w:rPr>
        <w:t xml:space="preserve">, Peter.  1977.  </w:t>
      </w:r>
      <w:r>
        <w:rPr>
          <w:rFonts w:ascii="Times New Roman" w:eastAsia="Times New Roman" w:hAnsi="Times New Roman" w:cs="Times New Roman"/>
          <w:i/>
          <w:iCs/>
          <w:color w:val="000000"/>
          <w:sz w:val="20"/>
          <w:szCs w:val="20"/>
        </w:rPr>
        <w:t>The Virtues</w:t>
      </w:r>
      <w:r>
        <w:rPr>
          <w:rFonts w:ascii="Times New Roman" w:eastAsia="Times New Roman" w:hAnsi="Times New Roman" w:cs="Times New Roman"/>
          <w:color w:val="000000"/>
          <w:sz w:val="20"/>
          <w:szCs w:val="20"/>
        </w:rPr>
        <w:t xml:space="preserve">.  </w:t>
      </w:r>
      <w:proofErr w:type="gramStart"/>
      <w:r>
        <w:rPr>
          <w:rFonts w:ascii="Times New Roman" w:eastAsia="Times New Roman" w:hAnsi="Times New Roman" w:cs="Times New Roman"/>
          <w:color w:val="000000"/>
          <w:sz w:val="20"/>
          <w:szCs w:val="20"/>
        </w:rPr>
        <w:t>Cambridge :</w:t>
      </w:r>
      <w:proofErr w:type="gramEnd"/>
      <w:r>
        <w:rPr>
          <w:rFonts w:ascii="Times New Roman" w:eastAsia="Times New Roman" w:hAnsi="Times New Roman" w:cs="Times New Roman"/>
          <w:color w:val="000000"/>
          <w:sz w:val="20"/>
          <w:szCs w:val="20"/>
        </w:rPr>
        <w:t xml:space="preserve"> Cambridge University Press.</w:t>
      </w:r>
    </w:p>
    <w:p w14:paraId="71D79BC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Hare, R.  M.  1952.  </w:t>
      </w:r>
      <w:r>
        <w:rPr>
          <w:rFonts w:ascii="Times New Roman" w:eastAsia="Times New Roman" w:hAnsi="Times New Roman" w:cs="Times New Roman"/>
          <w:i/>
          <w:iCs/>
          <w:color w:val="000000"/>
          <w:sz w:val="20"/>
          <w:szCs w:val="20"/>
        </w:rPr>
        <w:t>The Language of Morals</w:t>
      </w:r>
      <w:r>
        <w:rPr>
          <w:rFonts w:ascii="Times New Roman" w:eastAsia="Times New Roman" w:hAnsi="Times New Roman" w:cs="Times New Roman"/>
          <w:color w:val="000000"/>
          <w:sz w:val="20"/>
          <w:szCs w:val="20"/>
        </w:rPr>
        <w:t>.  Oxford: Oxford University Press.</w:t>
      </w:r>
    </w:p>
    <w:p w14:paraId="777FDFC8"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Hartmann, Nicolai.  1926.  </w:t>
      </w:r>
      <w:proofErr w:type="spellStart"/>
      <w:r>
        <w:rPr>
          <w:rFonts w:ascii="Times New Roman" w:eastAsia="Times New Roman" w:hAnsi="Times New Roman" w:cs="Times New Roman"/>
          <w:i/>
          <w:iCs/>
          <w:color w:val="000000"/>
          <w:sz w:val="20"/>
          <w:szCs w:val="20"/>
        </w:rPr>
        <w:t>Ethik</w:t>
      </w:r>
      <w:proofErr w:type="spellEnd"/>
      <w:r>
        <w:rPr>
          <w:rFonts w:ascii="Times New Roman" w:eastAsia="Times New Roman" w:hAnsi="Times New Roman" w:cs="Times New Roman"/>
          <w:color w:val="000000"/>
          <w:sz w:val="20"/>
          <w:szCs w:val="20"/>
        </w:rPr>
        <w:t>.  Berlin: Walter de Gruyter.</w:t>
      </w:r>
    </w:p>
    <w:p w14:paraId="7FB8E839"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Hildebrand, Dietrich von.  1916.  Die Idee der </w:t>
      </w:r>
      <w:proofErr w:type="spellStart"/>
      <w:r>
        <w:rPr>
          <w:rFonts w:ascii="Times New Roman" w:eastAsia="Times New Roman" w:hAnsi="Times New Roman" w:cs="Times New Roman"/>
          <w:color w:val="000000"/>
          <w:sz w:val="20"/>
          <w:szCs w:val="20"/>
        </w:rPr>
        <w:t>sittlichen</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Handlung</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i/>
          <w:iCs/>
          <w:color w:val="000000"/>
          <w:sz w:val="20"/>
          <w:szCs w:val="20"/>
        </w:rPr>
        <w:t>Jahrbuch</w:t>
      </w:r>
      <w:proofErr w:type="spellEnd"/>
      <w:r>
        <w:rPr>
          <w:rFonts w:ascii="Times New Roman" w:eastAsia="Times New Roman" w:hAnsi="Times New Roman" w:cs="Times New Roman"/>
          <w:i/>
          <w:iCs/>
          <w:color w:val="000000"/>
          <w:sz w:val="20"/>
          <w:szCs w:val="20"/>
        </w:rPr>
        <w:t xml:space="preserve"> für Philosophie und </w:t>
      </w:r>
      <w:proofErr w:type="spellStart"/>
      <w:r>
        <w:rPr>
          <w:rFonts w:ascii="Times New Roman" w:eastAsia="Times New Roman" w:hAnsi="Times New Roman" w:cs="Times New Roman"/>
          <w:i/>
          <w:iCs/>
          <w:color w:val="000000"/>
          <w:sz w:val="20"/>
          <w:szCs w:val="20"/>
        </w:rPr>
        <w:t>phänomenologische</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Forschung</w:t>
      </w:r>
      <w:proofErr w:type="spellEnd"/>
      <w:r>
        <w:rPr>
          <w:rFonts w:ascii="Times New Roman" w:eastAsia="Times New Roman" w:hAnsi="Times New Roman" w:cs="Times New Roman"/>
          <w:color w:val="000000"/>
          <w:sz w:val="20"/>
          <w:szCs w:val="20"/>
        </w:rPr>
        <w:t>, Bd.  3.</w:t>
      </w:r>
    </w:p>
    <w:p w14:paraId="73B1DA8D"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Husserl, Edmund.  1970.  </w:t>
      </w:r>
      <w:r>
        <w:rPr>
          <w:rFonts w:ascii="Times New Roman" w:eastAsia="Times New Roman" w:hAnsi="Times New Roman" w:cs="Times New Roman"/>
          <w:i/>
          <w:iCs/>
          <w:color w:val="000000"/>
          <w:sz w:val="20"/>
          <w:szCs w:val="20"/>
        </w:rPr>
        <w:t>Logical Investigations</w:t>
      </w:r>
      <w:r>
        <w:rPr>
          <w:rFonts w:ascii="Times New Roman" w:eastAsia="Times New Roman" w:hAnsi="Times New Roman" w:cs="Times New Roman"/>
          <w:color w:val="000000"/>
          <w:sz w:val="20"/>
          <w:szCs w:val="20"/>
        </w:rPr>
        <w:t>.  Trans.  J.  N.  Findlay.  London: Routledge and Kegan Paul.</w:t>
      </w:r>
    </w:p>
    <w:p w14:paraId="091A3934"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1984.  </w:t>
      </w:r>
      <w:proofErr w:type="spellStart"/>
      <w:r>
        <w:rPr>
          <w:rFonts w:ascii="Times New Roman" w:eastAsia="Times New Roman" w:hAnsi="Times New Roman" w:cs="Times New Roman"/>
          <w:i/>
          <w:iCs/>
          <w:color w:val="000000"/>
          <w:sz w:val="20"/>
          <w:szCs w:val="20"/>
        </w:rPr>
        <w:t>Logische</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Untersuchungen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Zweiter</w:t>
      </w:r>
      <w:proofErr w:type="spellEnd"/>
      <w:r>
        <w:rPr>
          <w:rFonts w:ascii="Times New Roman" w:eastAsia="Times New Roman" w:hAnsi="Times New Roman" w:cs="Times New Roman"/>
          <w:i/>
          <w:iCs/>
          <w:color w:val="000000"/>
          <w:sz w:val="20"/>
          <w:szCs w:val="20"/>
        </w:rPr>
        <w:t xml:space="preserve"> Band, </w:t>
      </w:r>
      <w:proofErr w:type="spellStart"/>
      <w:r>
        <w:rPr>
          <w:rFonts w:ascii="Times New Roman" w:eastAsia="Times New Roman" w:hAnsi="Times New Roman" w:cs="Times New Roman"/>
          <w:i/>
          <w:iCs/>
          <w:color w:val="000000"/>
          <w:sz w:val="20"/>
          <w:szCs w:val="20"/>
        </w:rPr>
        <w:t>erster</w:t>
      </w:r>
      <w:proofErr w:type="spellEnd"/>
      <w:r>
        <w:rPr>
          <w:rFonts w:ascii="Times New Roman" w:eastAsia="Times New Roman" w:hAnsi="Times New Roman" w:cs="Times New Roman"/>
          <w:i/>
          <w:iCs/>
          <w:color w:val="000000"/>
          <w:sz w:val="20"/>
          <w:szCs w:val="20"/>
        </w:rPr>
        <w:t xml:space="preserve"> Teil: </w:t>
      </w:r>
      <w:proofErr w:type="spellStart"/>
      <w:r>
        <w:rPr>
          <w:rFonts w:ascii="Times New Roman" w:eastAsia="Times New Roman" w:hAnsi="Times New Roman" w:cs="Times New Roman"/>
          <w:i/>
          <w:iCs/>
          <w:color w:val="000000"/>
          <w:sz w:val="20"/>
          <w:szCs w:val="20"/>
        </w:rPr>
        <w:t>Untersuchungen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zur</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Phänomenologie</w:t>
      </w:r>
      <w:proofErr w:type="spellEnd"/>
      <w:r>
        <w:rPr>
          <w:rFonts w:ascii="Times New Roman" w:eastAsia="Times New Roman" w:hAnsi="Times New Roman" w:cs="Times New Roman"/>
          <w:i/>
          <w:iCs/>
          <w:color w:val="000000"/>
          <w:sz w:val="20"/>
          <w:szCs w:val="20"/>
        </w:rPr>
        <w:t xml:space="preserve"> und </w:t>
      </w:r>
      <w:proofErr w:type="spellStart"/>
      <w:r>
        <w:rPr>
          <w:rFonts w:ascii="Times New Roman" w:eastAsia="Times New Roman" w:hAnsi="Times New Roman" w:cs="Times New Roman"/>
          <w:i/>
          <w:iCs/>
          <w:color w:val="000000"/>
          <w:sz w:val="20"/>
          <w:szCs w:val="20"/>
        </w:rPr>
        <w:t>Theorie</w:t>
      </w:r>
      <w:proofErr w:type="spellEnd"/>
      <w:r>
        <w:rPr>
          <w:rFonts w:ascii="Times New Roman" w:eastAsia="Times New Roman" w:hAnsi="Times New Roman" w:cs="Times New Roman"/>
          <w:i/>
          <w:iCs/>
          <w:color w:val="000000"/>
          <w:sz w:val="20"/>
          <w:szCs w:val="20"/>
        </w:rPr>
        <w:t xml:space="preserve"> der </w:t>
      </w:r>
      <w:proofErr w:type="spellStart"/>
      <w:r>
        <w:rPr>
          <w:rFonts w:ascii="Times New Roman" w:eastAsia="Times New Roman" w:hAnsi="Times New Roman" w:cs="Times New Roman"/>
          <w:i/>
          <w:iCs/>
          <w:color w:val="000000"/>
          <w:sz w:val="20"/>
          <w:szCs w:val="20"/>
        </w:rPr>
        <w:t>Erkenntnis</w:t>
      </w:r>
      <w:proofErr w:type="spellEnd"/>
      <w:r>
        <w:rPr>
          <w:rFonts w:ascii="Times New Roman" w:eastAsia="Times New Roman" w:hAnsi="Times New Roman" w:cs="Times New Roman"/>
          <w:color w:val="000000"/>
          <w:sz w:val="20"/>
          <w:szCs w:val="20"/>
        </w:rPr>
        <w:t xml:space="preserve">.  Ed.  U.  Panzer.  The Hague: </w:t>
      </w:r>
      <w:proofErr w:type="spellStart"/>
      <w:r>
        <w:rPr>
          <w:rFonts w:ascii="Times New Roman" w:eastAsia="Times New Roman" w:hAnsi="Times New Roman" w:cs="Times New Roman"/>
          <w:color w:val="000000"/>
          <w:sz w:val="20"/>
          <w:szCs w:val="20"/>
        </w:rPr>
        <w:t>Martinus</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Nijhoff</w:t>
      </w:r>
      <w:proofErr w:type="spellEnd"/>
      <w:r>
        <w:rPr>
          <w:rFonts w:ascii="Times New Roman" w:eastAsia="Times New Roman" w:hAnsi="Times New Roman" w:cs="Times New Roman"/>
          <w:color w:val="000000"/>
          <w:sz w:val="20"/>
          <w:szCs w:val="20"/>
        </w:rPr>
        <w:t xml:space="preserve"> Publishers.  </w:t>
      </w:r>
    </w:p>
    <w:p w14:paraId="4E113B9C"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1988.  </w:t>
      </w:r>
      <w:proofErr w:type="spellStart"/>
      <w:r>
        <w:rPr>
          <w:rFonts w:ascii="Times New Roman" w:eastAsia="Times New Roman" w:hAnsi="Times New Roman" w:cs="Times New Roman"/>
          <w:i/>
          <w:iCs/>
          <w:color w:val="000000"/>
          <w:sz w:val="20"/>
          <w:szCs w:val="20"/>
        </w:rPr>
        <w:t>Vorlesungen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über</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Ethik</w:t>
      </w:r>
      <w:proofErr w:type="spellEnd"/>
      <w:r>
        <w:rPr>
          <w:rFonts w:ascii="Times New Roman" w:eastAsia="Times New Roman" w:hAnsi="Times New Roman" w:cs="Times New Roman"/>
          <w:i/>
          <w:iCs/>
          <w:color w:val="000000"/>
          <w:sz w:val="20"/>
          <w:szCs w:val="20"/>
        </w:rPr>
        <w:t xml:space="preserve"> und </w:t>
      </w:r>
      <w:proofErr w:type="spellStart"/>
      <w:r>
        <w:rPr>
          <w:rFonts w:ascii="Times New Roman" w:eastAsia="Times New Roman" w:hAnsi="Times New Roman" w:cs="Times New Roman"/>
          <w:i/>
          <w:iCs/>
          <w:color w:val="000000"/>
          <w:sz w:val="20"/>
          <w:szCs w:val="20"/>
        </w:rPr>
        <w:t>Wertlehre</w:t>
      </w:r>
      <w:proofErr w:type="spellEnd"/>
      <w:r>
        <w:rPr>
          <w:rFonts w:ascii="Times New Roman" w:eastAsia="Times New Roman" w:hAnsi="Times New Roman" w:cs="Times New Roman"/>
          <w:i/>
          <w:iCs/>
          <w:color w:val="000000"/>
          <w:sz w:val="20"/>
          <w:szCs w:val="20"/>
        </w:rPr>
        <w:t xml:space="preserve"> 1908–1914</w:t>
      </w:r>
      <w:r>
        <w:rPr>
          <w:rFonts w:ascii="Times New Roman" w:eastAsia="Times New Roman" w:hAnsi="Times New Roman" w:cs="Times New Roman"/>
          <w:color w:val="000000"/>
          <w:sz w:val="20"/>
          <w:szCs w:val="20"/>
        </w:rPr>
        <w:t xml:space="preserve">.  Ed.  U.  </w:t>
      </w:r>
      <w:proofErr w:type="spellStart"/>
      <w:r>
        <w:rPr>
          <w:rFonts w:ascii="Times New Roman" w:eastAsia="Times New Roman" w:hAnsi="Times New Roman" w:cs="Times New Roman"/>
          <w:color w:val="000000"/>
          <w:sz w:val="20"/>
          <w:szCs w:val="20"/>
        </w:rPr>
        <w:t>Melle</w:t>
      </w:r>
      <w:proofErr w:type="spellEnd"/>
      <w:r>
        <w:rPr>
          <w:rFonts w:ascii="Times New Roman" w:eastAsia="Times New Roman" w:hAnsi="Times New Roman" w:cs="Times New Roman"/>
          <w:color w:val="000000"/>
          <w:sz w:val="20"/>
          <w:szCs w:val="20"/>
        </w:rPr>
        <w:t>.  Dordrecht: Kluwer Academic Publishers.</w:t>
      </w:r>
    </w:p>
    <w:p w14:paraId="0628A099"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2004.  </w:t>
      </w:r>
      <w:proofErr w:type="spellStart"/>
      <w:r>
        <w:rPr>
          <w:rFonts w:ascii="Times New Roman" w:eastAsia="Times New Roman" w:hAnsi="Times New Roman" w:cs="Times New Roman"/>
          <w:i/>
          <w:iCs/>
          <w:color w:val="000000"/>
          <w:sz w:val="20"/>
          <w:szCs w:val="20"/>
        </w:rPr>
        <w:t>Einleitung</w:t>
      </w:r>
      <w:proofErr w:type="spellEnd"/>
      <w:r>
        <w:rPr>
          <w:rFonts w:ascii="Times New Roman" w:eastAsia="Times New Roman" w:hAnsi="Times New Roman" w:cs="Times New Roman"/>
          <w:i/>
          <w:iCs/>
          <w:color w:val="000000"/>
          <w:sz w:val="20"/>
          <w:szCs w:val="20"/>
        </w:rPr>
        <w:t xml:space="preserve"> in die </w:t>
      </w:r>
      <w:proofErr w:type="spellStart"/>
      <w:r>
        <w:rPr>
          <w:rFonts w:ascii="Times New Roman" w:eastAsia="Times New Roman" w:hAnsi="Times New Roman" w:cs="Times New Roman"/>
          <w:i/>
          <w:iCs/>
          <w:color w:val="000000"/>
          <w:sz w:val="20"/>
          <w:szCs w:val="20"/>
        </w:rPr>
        <w:t>Ethik</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Vorlesungen</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Sommersemester</w:t>
      </w:r>
      <w:proofErr w:type="spellEnd"/>
      <w:r>
        <w:rPr>
          <w:rFonts w:ascii="Times New Roman" w:eastAsia="Times New Roman" w:hAnsi="Times New Roman" w:cs="Times New Roman"/>
          <w:i/>
          <w:iCs/>
          <w:color w:val="000000"/>
          <w:sz w:val="20"/>
          <w:szCs w:val="20"/>
        </w:rPr>
        <w:t xml:space="preserve"> 1920 und 1924</w:t>
      </w:r>
      <w:r>
        <w:rPr>
          <w:rFonts w:ascii="Times New Roman" w:eastAsia="Times New Roman" w:hAnsi="Times New Roman" w:cs="Times New Roman"/>
          <w:color w:val="000000"/>
          <w:sz w:val="20"/>
          <w:szCs w:val="20"/>
        </w:rPr>
        <w:t xml:space="preserve">.  Ed.  H.  </w:t>
      </w:r>
      <w:proofErr w:type="spellStart"/>
      <w:r>
        <w:rPr>
          <w:rFonts w:ascii="Times New Roman" w:eastAsia="Times New Roman" w:hAnsi="Times New Roman" w:cs="Times New Roman"/>
          <w:color w:val="000000"/>
          <w:sz w:val="20"/>
          <w:szCs w:val="20"/>
        </w:rPr>
        <w:t>Peucker</w:t>
      </w:r>
      <w:proofErr w:type="spellEnd"/>
      <w:r>
        <w:rPr>
          <w:rFonts w:ascii="Times New Roman" w:eastAsia="Times New Roman" w:hAnsi="Times New Roman" w:cs="Times New Roman"/>
          <w:color w:val="000000"/>
          <w:sz w:val="20"/>
          <w:szCs w:val="20"/>
        </w:rPr>
        <w:t>.  Dordrecht: Kluwer Academic Publishers.</w:t>
      </w:r>
    </w:p>
    <w:p w14:paraId="5FA5C7A6"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proofErr w:type="spellStart"/>
      <w:r>
        <w:rPr>
          <w:rFonts w:ascii="Times New Roman" w:eastAsia="Times New Roman" w:hAnsi="Times New Roman" w:cs="Times New Roman"/>
          <w:color w:val="000000"/>
          <w:sz w:val="20"/>
          <w:szCs w:val="20"/>
        </w:rPr>
        <w:t>Korsgaard</w:t>
      </w:r>
      <w:proofErr w:type="spellEnd"/>
      <w:r>
        <w:rPr>
          <w:rFonts w:ascii="Times New Roman" w:eastAsia="Times New Roman" w:hAnsi="Times New Roman" w:cs="Times New Roman"/>
          <w:color w:val="000000"/>
          <w:sz w:val="20"/>
          <w:szCs w:val="20"/>
        </w:rPr>
        <w:t xml:space="preserve">, Christine M.  1996.  </w:t>
      </w:r>
      <w:r>
        <w:rPr>
          <w:rFonts w:ascii="Times New Roman" w:eastAsia="Times New Roman" w:hAnsi="Times New Roman" w:cs="Times New Roman"/>
          <w:i/>
          <w:iCs/>
          <w:color w:val="000000"/>
          <w:sz w:val="20"/>
          <w:szCs w:val="20"/>
        </w:rPr>
        <w:t>Creating the Kingdom of Ends</w:t>
      </w:r>
      <w:r>
        <w:rPr>
          <w:rFonts w:ascii="Times New Roman" w:eastAsia="Times New Roman" w:hAnsi="Times New Roman" w:cs="Times New Roman"/>
          <w:color w:val="000000"/>
          <w:sz w:val="20"/>
          <w:szCs w:val="20"/>
        </w:rPr>
        <w:t xml:space="preserve">.  New York: Cambridge University Press.  </w:t>
      </w:r>
    </w:p>
    <w:p w14:paraId="75E922BD"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proofErr w:type="spellStart"/>
      <w:r>
        <w:rPr>
          <w:rFonts w:ascii="Times New Roman" w:eastAsia="Times New Roman" w:hAnsi="Times New Roman" w:cs="Times New Roman"/>
          <w:color w:val="000000"/>
          <w:sz w:val="20"/>
          <w:szCs w:val="20"/>
        </w:rPr>
        <w:t>MacIntyre</w:t>
      </w:r>
      <w:proofErr w:type="spellEnd"/>
      <w:r>
        <w:rPr>
          <w:rFonts w:ascii="Times New Roman" w:eastAsia="Times New Roman" w:hAnsi="Times New Roman" w:cs="Times New Roman"/>
          <w:color w:val="000000"/>
          <w:sz w:val="20"/>
          <w:szCs w:val="20"/>
        </w:rPr>
        <w:t xml:space="preserve">, Alasdair.  1981.  </w:t>
      </w:r>
      <w:r>
        <w:rPr>
          <w:rFonts w:ascii="Times New Roman" w:eastAsia="Times New Roman" w:hAnsi="Times New Roman" w:cs="Times New Roman"/>
          <w:i/>
          <w:iCs/>
          <w:color w:val="000000"/>
          <w:sz w:val="20"/>
          <w:szCs w:val="20"/>
        </w:rPr>
        <w:t>After Virtue: A Study in Moral Theory</w:t>
      </w:r>
      <w:r>
        <w:rPr>
          <w:rFonts w:ascii="Times New Roman" w:eastAsia="Times New Roman" w:hAnsi="Times New Roman" w:cs="Times New Roman"/>
          <w:color w:val="000000"/>
          <w:sz w:val="20"/>
          <w:szCs w:val="20"/>
        </w:rPr>
        <w:t>.  Notre Dame: University of Notre Dame Press.</w:t>
      </w:r>
    </w:p>
    <w:p w14:paraId="0BE69B08"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proofErr w:type="spellStart"/>
      <w:r>
        <w:rPr>
          <w:rFonts w:ascii="Times New Roman" w:eastAsia="Times New Roman" w:hAnsi="Times New Roman" w:cs="Times New Roman"/>
          <w:color w:val="000000"/>
          <w:sz w:val="20"/>
          <w:szCs w:val="20"/>
        </w:rPr>
        <w:t>Melle</w:t>
      </w:r>
      <w:proofErr w:type="spellEnd"/>
      <w:r>
        <w:rPr>
          <w:rFonts w:ascii="Times New Roman" w:eastAsia="Times New Roman" w:hAnsi="Times New Roman" w:cs="Times New Roman"/>
          <w:color w:val="000000"/>
          <w:sz w:val="20"/>
          <w:szCs w:val="20"/>
        </w:rPr>
        <w:t xml:space="preserve">, Ullrich.  1997.  Ethics in Husserl.  In </w:t>
      </w:r>
      <w:r>
        <w:rPr>
          <w:rFonts w:ascii="Times New Roman" w:eastAsia="Times New Roman" w:hAnsi="Times New Roman" w:cs="Times New Roman"/>
          <w:i/>
          <w:iCs/>
          <w:color w:val="000000"/>
          <w:sz w:val="20"/>
          <w:szCs w:val="20"/>
        </w:rPr>
        <w:t>The Encyclopedia of Phenomenology</w:t>
      </w:r>
      <w:r>
        <w:rPr>
          <w:rFonts w:ascii="Times New Roman" w:eastAsia="Times New Roman" w:hAnsi="Times New Roman" w:cs="Times New Roman"/>
          <w:color w:val="000000"/>
          <w:sz w:val="20"/>
          <w:szCs w:val="20"/>
        </w:rPr>
        <w:t xml:space="preserve">, ed.  L.  </w:t>
      </w:r>
      <w:proofErr w:type="spellStart"/>
      <w:r>
        <w:rPr>
          <w:rFonts w:ascii="Times New Roman" w:eastAsia="Times New Roman" w:hAnsi="Times New Roman" w:cs="Times New Roman"/>
          <w:color w:val="000000"/>
          <w:sz w:val="20"/>
          <w:szCs w:val="20"/>
        </w:rPr>
        <w:t>Embree</w:t>
      </w:r>
      <w:proofErr w:type="spellEnd"/>
      <w:r>
        <w:rPr>
          <w:rFonts w:ascii="Times New Roman" w:eastAsia="Times New Roman" w:hAnsi="Times New Roman" w:cs="Times New Roman"/>
          <w:color w:val="000000"/>
          <w:sz w:val="20"/>
          <w:szCs w:val="20"/>
        </w:rPr>
        <w:t xml:space="preserve"> et al., 180–84.  Dordrecht: Kluwer Academic Publishers.</w:t>
      </w:r>
    </w:p>
    <w:p w14:paraId="28D64AD0"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Merleau-Ponty, Maurice.  1945.  </w:t>
      </w:r>
      <w:r>
        <w:rPr>
          <w:rFonts w:ascii="Times New Roman" w:eastAsia="Times New Roman" w:hAnsi="Times New Roman" w:cs="Times New Roman"/>
          <w:i/>
          <w:iCs/>
          <w:color w:val="000000"/>
          <w:sz w:val="20"/>
          <w:szCs w:val="20"/>
        </w:rPr>
        <w:t xml:space="preserve">Le </w:t>
      </w:r>
      <w:proofErr w:type="spellStart"/>
      <w:r>
        <w:rPr>
          <w:rFonts w:ascii="Times New Roman" w:eastAsia="Times New Roman" w:hAnsi="Times New Roman" w:cs="Times New Roman"/>
          <w:i/>
          <w:iCs/>
          <w:color w:val="000000"/>
          <w:sz w:val="20"/>
          <w:szCs w:val="20"/>
        </w:rPr>
        <w:t>phénoménologie</w:t>
      </w:r>
      <w:proofErr w:type="spellEnd"/>
      <w:r>
        <w:rPr>
          <w:rFonts w:ascii="Times New Roman" w:eastAsia="Times New Roman" w:hAnsi="Times New Roman" w:cs="Times New Roman"/>
          <w:i/>
          <w:iCs/>
          <w:color w:val="000000"/>
          <w:sz w:val="20"/>
          <w:szCs w:val="20"/>
        </w:rPr>
        <w:t xml:space="preserve"> de perception</w:t>
      </w:r>
      <w:r>
        <w:rPr>
          <w:rFonts w:ascii="Times New Roman" w:eastAsia="Times New Roman" w:hAnsi="Times New Roman" w:cs="Times New Roman"/>
          <w:color w:val="000000"/>
          <w:sz w:val="20"/>
          <w:szCs w:val="20"/>
        </w:rPr>
        <w:t>.  Paris: Gallimard.</w:t>
      </w:r>
    </w:p>
    <w:p w14:paraId="4000DD49"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Mulligan, Kevin.  1998.  From appropriate emotions to values.  </w:t>
      </w:r>
      <w:r>
        <w:rPr>
          <w:rFonts w:ascii="Times New Roman" w:eastAsia="Times New Roman" w:hAnsi="Times New Roman" w:cs="Times New Roman"/>
          <w:i/>
          <w:iCs/>
          <w:color w:val="000000"/>
          <w:sz w:val="20"/>
          <w:szCs w:val="20"/>
        </w:rPr>
        <w:t>The Monist</w:t>
      </w:r>
      <w:r>
        <w:rPr>
          <w:rFonts w:ascii="Times New Roman" w:eastAsia="Times New Roman" w:hAnsi="Times New Roman" w:cs="Times New Roman"/>
          <w:color w:val="000000"/>
          <w:sz w:val="20"/>
          <w:szCs w:val="20"/>
        </w:rPr>
        <w:t xml:space="preserve"> 81: 161–88.</w:t>
      </w:r>
    </w:p>
    <w:p w14:paraId="7C361D8C"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proofErr w:type="spellStart"/>
      <w:r>
        <w:rPr>
          <w:rFonts w:ascii="Times New Roman" w:eastAsia="Times New Roman" w:hAnsi="Times New Roman" w:cs="Times New Roman"/>
          <w:color w:val="000000"/>
          <w:sz w:val="20"/>
          <w:szCs w:val="20"/>
        </w:rPr>
        <w:t>Reinach</w:t>
      </w:r>
      <w:proofErr w:type="spellEnd"/>
      <w:r>
        <w:rPr>
          <w:rFonts w:ascii="Times New Roman" w:eastAsia="Times New Roman" w:hAnsi="Times New Roman" w:cs="Times New Roman"/>
          <w:color w:val="000000"/>
          <w:sz w:val="20"/>
          <w:szCs w:val="20"/>
        </w:rPr>
        <w:t xml:space="preserve">, Adolf.  1913.  Die </w:t>
      </w:r>
      <w:proofErr w:type="spellStart"/>
      <w:r>
        <w:rPr>
          <w:rFonts w:ascii="Times New Roman" w:eastAsia="Times New Roman" w:hAnsi="Times New Roman" w:cs="Times New Roman"/>
          <w:color w:val="000000"/>
          <w:sz w:val="20"/>
          <w:szCs w:val="20"/>
        </w:rPr>
        <w:t>apriorischen</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Grundlagen</w:t>
      </w:r>
      <w:proofErr w:type="spellEnd"/>
      <w:r>
        <w:rPr>
          <w:rFonts w:ascii="Times New Roman" w:eastAsia="Times New Roman" w:hAnsi="Times New Roman" w:cs="Times New Roman"/>
          <w:color w:val="000000"/>
          <w:sz w:val="20"/>
          <w:szCs w:val="20"/>
        </w:rPr>
        <w:t xml:space="preserve"> des </w:t>
      </w:r>
      <w:proofErr w:type="spellStart"/>
      <w:r>
        <w:rPr>
          <w:rFonts w:ascii="Times New Roman" w:eastAsia="Times New Roman" w:hAnsi="Times New Roman" w:cs="Times New Roman"/>
          <w:color w:val="000000"/>
          <w:sz w:val="20"/>
          <w:szCs w:val="20"/>
        </w:rPr>
        <w:t>bürgerlichen</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Rechts</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i/>
          <w:iCs/>
          <w:color w:val="000000"/>
          <w:sz w:val="20"/>
          <w:szCs w:val="20"/>
        </w:rPr>
        <w:t>Jahrbuch</w:t>
      </w:r>
      <w:proofErr w:type="spellEnd"/>
      <w:r>
        <w:rPr>
          <w:rFonts w:ascii="Times New Roman" w:eastAsia="Times New Roman" w:hAnsi="Times New Roman" w:cs="Times New Roman"/>
          <w:i/>
          <w:iCs/>
          <w:color w:val="000000"/>
          <w:sz w:val="20"/>
          <w:szCs w:val="20"/>
        </w:rPr>
        <w:t xml:space="preserve"> für Philosophie und </w:t>
      </w:r>
      <w:proofErr w:type="spellStart"/>
      <w:r>
        <w:rPr>
          <w:rFonts w:ascii="Times New Roman" w:eastAsia="Times New Roman" w:hAnsi="Times New Roman" w:cs="Times New Roman"/>
          <w:i/>
          <w:iCs/>
          <w:color w:val="000000"/>
          <w:sz w:val="20"/>
          <w:szCs w:val="20"/>
        </w:rPr>
        <w:t>phänomenologische</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Forschung</w:t>
      </w:r>
      <w:proofErr w:type="spellEnd"/>
      <w:r>
        <w:rPr>
          <w:rFonts w:ascii="Times New Roman" w:eastAsia="Times New Roman" w:hAnsi="Times New Roman" w:cs="Times New Roman"/>
          <w:color w:val="000000"/>
          <w:sz w:val="20"/>
          <w:szCs w:val="20"/>
        </w:rPr>
        <w:t xml:space="preserve"> 1.</w:t>
      </w:r>
    </w:p>
    <w:p w14:paraId="43187081"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Sartre, Jean-Paul.  1943.  </w:t>
      </w:r>
      <w:proofErr w:type="spellStart"/>
      <w:r>
        <w:rPr>
          <w:rFonts w:ascii="Times New Roman" w:eastAsia="Times New Roman" w:hAnsi="Times New Roman" w:cs="Times New Roman"/>
          <w:i/>
          <w:iCs/>
          <w:color w:val="000000"/>
          <w:sz w:val="20"/>
          <w:szCs w:val="20"/>
        </w:rPr>
        <w:t>L’être</w:t>
      </w:r>
      <w:proofErr w:type="spellEnd"/>
      <w:r>
        <w:rPr>
          <w:rFonts w:ascii="Times New Roman" w:eastAsia="Times New Roman" w:hAnsi="Times New Roman" w:cs="Times New Roman"/>
          <w:i/>
          <w:iCs/>
          <w:color w:val="000000"/>
          <w:sz w:val="20"/>
          <w:szCs w:val="20"/>
        </w:rPr>
        <w:t xml:space="preserve"> et le </w:t>
      </w:r>
      <w:proofErr w:type="spellStart"/>
      <w:r>
        <w:rPr>
          <w:rFonts w:ascii="Times New Roman" w:eastAsia="Times New Roman" w:hAnsi="Times New Roman" w:cs="Times New Roman"/>
          <w:i/>
          <w:iCs/>
          <w:color w:val="000000"/>
          <w:sz w:val="20"/>
          <w:szCs w:val="20"/>
        </w:rPr>
        <w:t>néant</w:t>
      </w:r>
      <w:proofErr w:type="spellEnd"/>
      <w:r>
        <w:rPr>
          <w:rFonts w:ascii="Times New Roman" w:eastAsia="Times New Roman" w:hAnsi="Times New Roman" w:cs="Times New Roman"/>
          <w:color w:val="000000"/>
          <w:sz w:val="20"/>
          <w:szCs w:val="20"/>
        </w:rPr>
        <w:t>.  Paris: Gallimard.</w:t>
      </w:r>
    </w:p>
    <w:p w14:paraId="1BA0ED3E"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Scheler, Max.  [1913/16] 1954.  </w:t>
      </w:r>
      <w:r>
        <w:rPr>
          <w:rFonts w:ascii="Times New Roman" w:eastAsia="Times New Roman" w:hAnsi="Times New Roman" w:cs="Times New Roman"/>
          <w:i/>
          <w:iCs/>
          <w:color w:val="000000"/>
          <w:sz w:val="20"/>
          <w:szCs w:val="20"/>
        </w:rPr>
        <w:t xml:space="preserve">Der </w:t>
      </w:r>
      <w:proofErr w:type="spellStart"/>
      <w:r>
        <w:rPr>
          <w:rFonts w:ascii="Times New Roman" w:eastAsia="Times New Roman" w:hAnsi="Times New Roman" w:cs="Times New Roman"/>
          <w:i/>
          <w:iCs/>
          <w:color w:val="000000"/>
          <w:sz w:val="20"/>
          <w:szCs w:val="20"/>
        </w:rPr>
        <w:t>Formalismus</w:t>
      </w:r>
      <w:proofErr w:type="spellEnd"/>
      <w:r>
        <w:rPr>
          <w:rFonts w:ascii="Times New Roman" w:eastAsia="Times New Roman" w:hAnsi="Times New Roman" w:cs="Times New Roman"/>
          <w:i/>
          <w:iCs/>
          <w:color w:val="000000"/>
          <w:sz w:val="20"/>
          <w:szCs w:val="20"/>
        </w:rPr>
        <w:t xml:space="preserve"> in der </w:t>
      </w:r>
      <w:proofErr w:type="spellStart"/>
      <w:r>
        <w:rPr>
          <w:rFonts w:ascii="Times New Roman" w:eastAsia="Times New Roman" w:hAnsi="Times New Roman" w:cs="Times New Roman"/>
          <w:i/>
          <w:iCs/>
          <w:color w:val="000000"/>
          <w:sz w:val="20"/>
          <w:szCs w:val="20"/>
        </w:rPr>
        <w:t>Ethik</w:t>
      </w:r>
      <w:proofErr w:type="spellEnd"/>
      <w:r>
        <w:rPr>
          <w:rFonts w:ascii="Times New Roman" w:eastAsia="Times New Roman" w:hAnsi="Times New Roman" w:cs="Times New Roman"/>
          <w:i/>
          <w:iCs/>
          <w:color w:val="000000"/>
          <w:sz w:val="20"/>
          <w:szCs w:val="20"/>
        </w:rPr>
        <w:t xml:space="preserve"> und die </w:t>
      </w:r>
      <w:proofErr w:type="spellStart"/>
      <w:r>
        <w:rPr>
          <w:rFonts w:ascii="Times New Roman" w:eastAsia="Times New Roman" w:hAnsi="Times New Roman" w:cs="Times New Roman"/>
          <w:i/>
          <w:iCs/>
          <w:color w:val="000000"/>
          <w:sz w:val="20"/>
          <w:szCs w:val="20"/>
        </w:rPr>
        <w:t>materiale</w:t>
      </w:r>
      <w:proofErr w:type="spellEnd"/>
      <w:r>
        <w:rPr>
          <w:rFonts w:ascii="Times New Roman" w:eastAsia="Times New Roman" w:hAnsi="Times New Roman" w:cs="Times New Roman"/>
          <w:i/>
          <w:iCs/>
          <w:color w:val="000000"/>
          <w:sz w:val="20"/>
          <w:szCs w:val="20"/>
        </w:rPr>
        <w:t xml:space="preserve"> </w:t>
      </w:r>
      <w:proofErr w:type="spellStart"/>
      <w:r>
        <w:rPr>
          <w:rFonts w:ascii="Times New Roman" w:eastAsia="Times New Roman" w:hAnsi="Times New Roman" w:cs="Times New Roman"/>
          <w:i/>
          <w:iCs/>
          <w:color w:val="000000"/>
          <w:sz w:val="20"/>
          <w:szCs w:val="20"/>
        </w:rPr>
        <w:t>Wertethik</w:t>
      </w:r>
      <w:proofErr w:type="spellEnd"/>
      <w:r>
        <w:rPr>
          <w:rFonts w:ascii="Times New Roman" w:eastAsia="Times New Roman" w:hAnsi="Times New Roman" w:cs="Times New Roman"/>
          <w:color w:val="000000"/>
          <w:sz w:val="20"/>
          <w:szCs w:val="20"/>
        </w:rPr>
        <w:t xml:space="preserve">, in </w:t>
      </w:r>
      <w:proofErr w:type="spellStart"/>
      <w:r>
        <w:rPr>
          <w:rFonts w:ascii="Times New Roman" w:eastAsia="Times New Roman" w:hAnsi="Times New Roman" w:cs="Times New Roman"/>
          <w:i/>
          <w:iCs/>
          <w:color w:val="000000"/>
          <w:sz w:val="20"/>
          <w:szCs w:val="20"/>
        </w:rPr>
        <w:t>Gesammelte</w:t>
      </w:r>
      <w:proofErr w:type="spellEnd"/>
      <w:r>
        <w:rPr>
          <w:rFonts w:ascii="Times New Roman" w:eastAsia="Times New Roman" w:hAnsi="Times New Roman" w:cs="Times New Roman"/>
          <w:i/>
          <w:iCs/>
          <w:color w:val="000000"/>
          <w:sz w:val="20"/>
          <w:szCs w:val="20"/>
        </w:rPr>
        <w:t xml:space="preserve"> Werke</w:t>
      </w:r>
      <w:r>
        <w:rPr>
          <w:rFonts w:ascii="Times New Roman" w:eastAsia="Times New Roman" w:hAnsi="Times New Roman" w:cs="Times New Roman"/>
          <w:color w:val="000000"/>
          <w:sz w:val="20"/>
          <w:szCs w:val="20"/>
        </w:rPr>
        <w:t xml:space="preserve">.  Ed.  M.  Scheler and M.  Frings, vol.  2.  Bern: </w:t>
      </w:r>
      <w:proofErr w:type="spellStart"/>
      <w:r>
        <w:rPr>
          <w:rFonts w:ascii="Times New Roman" w:eastAsia="Times New Roman" w:hAnsi="Times New Roman" w:cs="Times New Roman"/>
          <w:color w:val="000000"/>
          <w:sz w:val="20"/>
          <w:szCs w:val="20"/>
        </w:rPr>
        <w:t>Francke</w:t>
      </w:r>
      <w:proofErr w:type="spellEnd"/>
      <w:r>
        <w:rPr>
          <w:rFonts w:ascii="Times New Roman" w:eastAsia="Times New Roman" w:hAnsi="Times New Roman" w:cs="Times New Roman"/>
          <w:color w:val="000000"/>
          <w:sz w:val="20"/>
          <w:szCs w:val="20"/>
        </w:rPr>
        <w:t xml:space="preserve">.  </w:t>
      </w:r>
    </w:p>
    <w:p w14:paraId="07BA17FA" w14:textId="77777777" w:rsidR="00010990" w:rsidRDefault="00000000">
      <w:pPr>
        <w:tabs>
          <w:tab w:val="left" w:pos="0"/>
          <w:tab w:val="left" w:pos="360"/>
          <w:tab w:val="right" w:pos="90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00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360" w:hanging="360"/>
        <w:rPr>
          <w:rFonts w:hint="eastAsia"/>
        </w:rPr>
      </w:pPr>
      <w:r>
        <w:rPr>
          <w:rFonts w:ascii="Times New Roman" w:eastAsia="Times New Roman" w:hAnsi="Times New Roman" w:cs="Times New Roman"/>
          <w:color w:val="000000"/>
          <w:sz w:val="20"/>
          <w:szCs w:val="20"/>
        </w:rPr>
        <w:t xml:space="preserve">———.  1973.  </w:t>
      </w:r>
      <w:r>
        <w:rPr>
          <w:rFonts w:ascii="Times New Roman" w:eastAsia="Times New Roman" w:hAnsi="Times New Roman" w:cs="Times New Roman"/>
          <w:i/>
          <w:iCs/>
          <w:color w:val="000000"/>
          <w:sz w:val="20"/>
          <w:szCs w:val="20"/>
        </w:rPr>
        <w:t>Formalism in Ethics and Non-Formal Ethics of Values</w:t>
      </w:r>
      <w:r>
        <w:rPr>
          <w:rFonts w:ascii="Times New Roman" w:eastAsia="Times New Roman" w:hAnsi="Times New Roman" w:cs="Times New Roman"/>
          <w:color w:val="000000"/>
          <w:sz w:val="20"/>
          <w:szCs w:val="20"/>
        </w:rPr>
        <w:t>.  Trans.  M.  Frings and R.  Funk.  Evanston, Ill.: Northwestern University Press.</w:t>
      </w:r>
    </w:p>
    <w:p w14:paraId="09368AFF"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proofErr w:type="spellStart"/>
      <w:r>
        <w:rPr>
          <w:rFonts w:ascii="Times New Roman" w:eastAsia="Times New Roman" w:hAnsi="Times New Roman" w:cs="Times New Roman"/>
          <w:color w:val="000000"/>
          <w:sz w:val="20"/>
          <w:szCs w:val="20"/>
        </w:rPr>
        <w:t>Slote</w:t>
      </w:r>
      <w:proofErr w:type="spellEnd"/>
      <w:r>
        <w:rPr>
          <w:rFonts w:ascii="Times New Roman" w:eastAsia="Times New Roman" w:hAnsi="Times New Roman" w:cs="Times New Roman"/>
          <w:color w:val="000000"/>
          <w:sz w:val="20"/>
          <w:szCs w:val="20"/>
        </w:rPr>
        <w:t xml:space="preserve">, Michael.  2001.  </w:t>
      </w:r>
      <w:r>
        <w:rPr>
          <w:rFonts w:ascii="Times New Roman" w:eastAsia="Times New Roman" w:hAnsi="Times New Roman" w:cs="Times New Roman"/>
          <w:i/>
          <w:iCs/>
          <w:color w:val="000000"/>
          <w:sz w:val="20"/>
          <w:szCs w:val="20"/>
        </w:rPr>
        <w:t>Morals from Motives</w:t>
      </w:r>
      <w:r>
        <w:rPr>
          <w:rFonts w:ascii="Times New Roman" w:eastAsia="Times New Roman" w:hAnsi="Times New Roman" w:cs="Times New Roman"/>
          <w:color w:val="000000"/>
          <w:sz w:val="20"/>
          <w:szCs w:val="20"/>
        </w:rPr>
        <w:t>.  New York: Oxford University Press.</w:t>
      </w:r>
    </w:p>
    <w:p w14:paraId="0C7EFC75" w14:textId="77777777" w:rsidR="00010990" w:rsidRDefault="00000000">
      <w:pPr>
        <w:tabs>
          <w:tab w:val="left" w:pos="0"/>
          <w:tab w:val="left" w:pos="360"/>
          <w:tab w:val="left" w:pos="720"/>
          <w:tab w:val="righ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t xml:space="preserve">Stevenson, Charles.  1944.  </w:t>
      </w:r>
      <w:r>
        <w:rPr>
          <w:rFonts w:ascii="Times New Roman" w:eastAsia="Times New Roman" w:hAnsi="Times New Roman" w:cs="Times New Roman"/>
          <w:i/>
          <w:iCs/>
          <w:color w:val="000000"/>
          <w:sz w:val="20"/>
          <w:szCs w:val="20"/>
        </w:rPr>
        <w:t>Ethics and Language</w:t>
      </w:r>
      <w:r>
        <w:rPr>
          <w:rFonts w:ascii="Times New Roman" w:eastAsia="Times New Roman" w:hAnsi="Times New Roman" w:cs="Times New Roman"/>
          <w:color w:val="000000"/>
          <w:sz w:val="20"/>
          <w:szCs w:val="20"/>
        </w:rPr>
        <w:t>.  New Haven: Yale University Press.</w:t>
      </w:r>
    </w:p>
    <w:sectPr w:rsidR="00010990">
      <w:pgSz w:w="12240" w:h="15840"/>
      <w:pgMar w:top="1440" w:right="1440" w:bottom="1440" w:left="1440" w:header="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AE758" w14:textId="77777777" w:rsidR="00AA65EB" w:rsidRDefault="00AA65EB">
      <w:pPr>
        <w:rPr>
          <w:rFonts w:hint="eastAsia"/>
        </w:rPr>
      </w:pPr>
      <w:r>
        <w:separator/>
      </w:r>
    </w:p>
  </w:endnote>
  <w:endnote w:type="continuationSeparator" w:id="0">
    <w:p w14:paraId="0FCBCBB0" w14:textId="77777777" w:rsidR="00AA65EB" w:rsidRDefault="00AA65EB">
      <w:pPr>
        <w:rPr>
          <w:rFonts w:hint="eastAsia"/>
        </w:rPr>
      </w:pPr>
      <w:r>
        <w:continuationSeparator/>
      </w:r>
    </w:p>
  </w:endnote>
  <w:endnote w:id="1">
    <w:p w14:paraId="75FA1372"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See Drummond 1995, 2002 for a more detailed accounts of the relations between phenomenology and Aristotelianism.  This paper improves, I believe and hope, the discussion of the relation of Husserl’s formal-axiological notions to an Aristotelian approach.</w:t>
      </w:r>
    </w:p>
  </w:endnote>
  <w:endnote w:id="2">
    <w:p w14:paraId="15C8E9D9"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I am grateful to my colleague Christopher Gowans for clarifying for me the two-staged development of contemporary virtue ethics as providing both meta-ethical and normative alternatives to the ethical views dominating in the 1950s and early 1960s.</w:t>
      </w:r>
    </w:p>
  </w:endnote>
  <w:endnote w:id="3">
    <w:p w14:paraId="57BFE480"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 xml:space="preserve">Christopher Arroyo 2007 has clarified for me the consequentialism of Husserl’s axiological and practical laws.  See also Melle 1997.  Husserl’s use of notions such as </w:t>
      </w:r>
      <w:r>
        <w:rPr>
          <w:rFonts w:ascii="Times New Roman" w:eastAsia="Times New Roman" w:hAnsi="Times New Roman" w:cs="Times New Roman"/>
          <w:i/>
          <w:iCs/>
          <w:color w:val="000000"/>
          <w:sz w:val="20"/>
          <w:szCs w:val="20"/>
        </w:rPr>
        <w:t>Eudaimonie</w:t>
      </w:r>
      <w:r>
        <w:rPr>
          <w:rFonts w:ascii="Times New Roman" w:eastAsia="Times New Roman" w:hAnsi="Times New Roman" w:cs="Times New Roman"/>
          <w:color w:val="000000"/>
          <w:sz w:val="20"/>
          <w:szCs w:val="20"/>
        </w:rPr>
        <w:t xml:space="preserve"> and </w:t>
      </w:r>
      <w:r>
        <w:rPr>
          <w:rFonts w:ascii="Times New Roman" w:eastAsia="Times New Roman" w:hAnsi="Times New Roman" w:cs="Times New Roman"/>
          <w:i/>
          <w:iCs/>
          <w:color w:val="000000"/>
          <w:sz w:val="20"/>
          <w:szCs w:val="20"/>
        </w:rPr>
        <w:t xml:space="preserve">Glückseligkeit </w:t>
      </w:r>
      <w:r>
        <w:rPr>
          <w:rFonts w:ascii="Times New Roman" w:eastAsia="Times New Roman" w:hAnsi="Times New Roman" w:cs="Times New Roman"/>
          <w:color w:val="000000"/>
          <w:sz w:val="20"/>
          <w:szCs w:val="20"/>
        </w:rPr>
        <w:t>seems to fail to distinguish adequately between consequentialist and areteic versions of teleology.</w:t>
      </w:r>
    </w:p>
  </w:endnote>
  <w:endnote w:id="4">
    <w:p w14:paraId="77ADE4F4"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Although more complicated cases wherein the feeling or emotion is rooted in another axiological property are also possible, these in turn will point back to simpler apprehensions of an object’s or situation’s non-axiological properties.</w:t>
      </w:r>
    </w:p>
  </w:endnote>
  <w:endnote w:id="5">
    <w:p w14:paraId="65355867"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hint="eastAsia"/>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 xml:space="preserve">To say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is founded upon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is to say (i)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presupposes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as necessary for it and (ii) that </w:t>
      </w:r>
      <w:r>
        <w:rPr>
          <w:rFonts w:ascii="Times New Roman" w:eastAsia="Times New Roman" w:hAnsi="Times New Roman" w:cs="Times New Roman"/>
          <w:i/>
          <w:iCs/>
          <w:color w:val="000000"/>
          <w:sz w:val="20"/>
          <w:szCs w:val="20"/>
        </w:rPr>
        <w:t>B</w:t>
      </w:r>
      <w:r>
        <w:rPr>
          <w:rFonts w:ascii="Times New Roman" w:eastAsia="Times New Roman" w:hAnsi="Times New Roman" w:cs="Times New Roman"/>
          <w:color w:val="000000"/>
          <w:sz w:val="20"/>
          <w:szCs w:val="20"/>
        </w:rPr>
        <w:t xml:space="preserve"> builds itself upon </w:t>
      </w:r>
      <w:r>
        <w:rPr>
          <w:rFonts w:ascii="Times New Roman" w:eastAsia="Times New Roman" w:hAnsi="Times New Roman" w:cs="Times New Roman"/>
          <w:i/>
          <w:iCs/>
          <w:color w:val="000000"/>
          <w:sz w:val="20"/>
          <w:szCs w:val="20"/>
        </w:rPr>
        <w:t>A</w:t>
      </w:r>
      <w:r>
        <w:rPr>
          <w:rFonts w:ascii="Times New Roman" w:eastAsia="Times New Roman" w:hAnsi="Times New Roman" w:cs="Times New Roman"/>
          <w:color w:val="000000"/>
          <w:sz w:val="20"/>
          <w:szCs w:val="20"/>
        </w:rPr>
        <w:t xml:space="preserve"> so as to form a unity with it.</w:t>
      </w:r>
    </w:p>
  </w:endnote>
  <w:endnote w:id="6">
    <w:p w14:paraId="4A8D59AF" w14:textId="77777777" w:rsidR="00010990"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endnoteRef/>
      </w:r>
      <w:r>
        <w:rPr>
          <w:rFonts w:ascii="Times New Roman" w:eastAsia="Times New Roman" w:hAnsi="Times New Roman" w:cs="Times New Roman"/>
          <w:color w:val="000000"/>
          <w:sz w:val="20"/>
          <w:szCs w:val="20"/>
        </w:rPr>
        <w:tab/>
        <w:t>I have elsewhere called these goods of agency “transcendental goods” and “non-manifest goods.”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A47CE" w14:textId="77777777" w:rsidR="00AA65EB" w:rsidRDefault="00AA65EB">
      <w:pPr>
        <w:rPr>
          <w:rFonts w:hint="eastAsia"/>
        </w:rPr>
      </w:pPr>
      <w:r>
        <w:separator/>
      </w:r>
    </w:p>
  </w:footnote>
  <w:footnote w:type="continuationSeparator" w:id="0">
    <w:p w14:paraId="54303343" w14:textId="77777777" w:rsidR="00AA65EB" w:rsidRDefault="00AA65E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21BA4"/>
    <w:multiLevelType w:val="multilevel"/>
    <w:tmpl w:val="3AD0A8B2"/>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336017AA"/>
    <w:multiLevelType w:val="multilevel"/>
    <w:tmpl w:val="F64EB7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48B05284"/>
    <w:multiLevelType w:val="multilevel"/>
    <w:tmpl w:val="ABFED542"/>
    <w:lvl w:ilvl="0">
      <w:start w:val="4"/>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4CB629E2"/>
    <w:multiLevelType w:val="multilevel"/>
    <w:tmpl w:val="E5FC9A68"/>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79347FB7"/>
    <w:multiLevelType w:val="multilevel"/>
    <w:tmpl w:val="B28A009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638411793">
    <w:abstractNumId w:val="4"/>
  </w:num>
  <w:num w:numId="2" w16cid:durableId="1181777464">
    <w:abstractNumId w:val="0"/>
  </w:num>
  <w:num w:numId="3" w16cid:durableId="2045523006">
    <w:abstractNumId w:val="3"/>
  </w:num>
  <w:num w:numId="4" w16cid:durableId="311060943">
    <w:abstractNumId w:val="2"/>
  </w:num>
  <w:num w:numId="5" w16cid:durableId="1982348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990"/>
    <w:rsid w:val="00010990"/>
    <w:rsid w:val="00AA65EB"/>
    <w:rsid w:val="00B14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7F33FE"/>
  <w15:docId w15:val="{45F7A460-47D4-6145-B64A-42165F44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Symbol">
    <w:name w:val="Footnote_Symbol"/>
    <w:qFormat/>
    <w:rPr>
      <w:vertAlign w:val="superscript"/>
    </w:rPr>
  </w:style>
  <w:style w:type="character" w:customStyle="1" w:styleId="EndnoteSymbol">
    <w:name w:val="Endnote_Symbol"/>
    <w:qFormat/>
    <w:rPr>
      <w:vertAlign w:val="superscript"/>
    </w:rPr>
  </w:style>
  <w:style w:type="character" w:customStyle="1" w:styleId="Footnoteanchor">
    <w:name w:val="Footnote_anchor"/>
    <w:qFormat/>
    <w:rPr>
      <w:vertAlign w:val="superscript"/>
    </w:rPr>
  </w:style>
  <w:style w:type="character" w:customStyle="1" w:styleId="Endnoteanchor">
    <w:name w:val="Endnote_anchor"/>
    <w:qFormat/>
    <w:rPr>
      <w:vertAlign w:val="superscript"/>
    </w:rPr>
  </w:style>
  <w:style w:type="character" w:customStyle="1" w:styleId="Bullets">
    <w:name w:val="Bullets"/>
    <w:qFormat/>
  </w:style>
  <w:style w:type="character" w:customStyle="1" w:styleId="FootnoteCharacters">
    <w:name w:val="Footnote Characters"/>
    <w:qFormat/>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style>
  <w:style w:type="paragraph" w:styleId="List">
    <w:name w:val="List"/>
    <w:basedOn w:val="BodyText"/>
  </w:style>
  <w:style w:type="paragraph" w:styleId="Caption">
    <w:name w:val="caption"/>
    <w:basedOn w:val="Normal"/>
    <w:qFormat/>
  </w:style>
  <w:style w:type="paragraph" w:customStyle="1" w:styleId="Index">
    <w:name w:val="Index"/>
    <w:basedOn w:val="Normal"/>
    <w:qFormat/>
  </w:style>
  <w:style w:type="paragraph" w:customStyle="1" w:styleId="TableContents">
    <w:name w:val="Table Contents"/>
    <w:basedOn w:val="BodyText"/>
    <w:qFormat/>
  </w:style>
  <w:style w:type="paragraph" w:customStyle="1" w:styleId="TableHeading">
    <w:name w:val="Table Heading"/>
    <w:basedOn w:val="TableContents"/>
    <w:qFormat/>
  </w:style>
  <w:style w:type="paragraph" w:styleId="Header">
    <w:name w:val="header"/>
    <w:basedOn w:val="Normal"/>
  </w:style>
  <w:style w:type="paragraph" w:styleId="Footer">
    <w:name w:val="footer"/>
    <w:basedOn w:val="Normal"/>
  </w:style>
  <w:style w:type="paragraph" w:styleId="FootnoteText">
    <w:name w:val="footnote text"/>
    <w:basedOn w:val="Normal"/>
  </w:style>
  <w:style w:type="paragraph" w:styleId="EndnoteText">
    <w:name w:val="endnote tex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7289</Words>
  <Characters>41548</Characters>
  <Application>Microsoft Office Word</Application>
  <DocSecurity>0</DocSecurity>
  <Lines>346</Lines>
  <Paragraphs>97</Paragraphs>
  <ScaleCrop>false</ScaleCrop>
  <Company/>
  <LinksUpToDate>false</LinksUpToDate>
  <CharactersWithSpaces>48740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Drummond</cp:lastModifiedBy>
  <cp:revision>2</cp:revision>
  <dcterms:created xsi:type="dcterms:W3CDTF">2023-12-08T03:17:00Z</dcterms:created>
  <dcterms:modified xsi:type="dcterms:W3CDTF">2023-12-08T03:17:00Z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2008-03-17T16:23:14Z</dcterms:created>
  <dc:creator>John Drummond</dc:creator>
  <dc:description/>
  <dc:language>en-US</dc:language>
  <cp:lastModifiedBy>John Drummond</cp:lastModifiedBy>
  <cp:revision>0</cp:revision>
  <dc:subject/>
  <dc:title/>
</cp:coreProperties>
</file>